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19117D" w14:textId="12246DCB" w:rsidR="00BB3A63" w:rsidRPr="00DA5119" w:rsidRDefault="00BB3A63" w:rsidP="00DA5119">
      <w:pPr>
        <w:pStyle w:val="Heading2"/>
        <w:ind w:left="-90"/>
        <w:rPr>
          <w:rFonts w:asciiTheme="minorHAnsi" w:hAnsiTheme="minorHAnsi"/>
          <w:lang w:val="en-US"/>
        </w:rPr>
      </w:pPr>
      <w:r w:rsidRPr="00DA5119">
        <w:rPr>
          <w:rFonts w:asciiTheme="minorHAnsi" w:hAnsiTheme="minorHAnsi"/>
          <w:lang w:val="en-US"/>
        </w:rPr>
        <w:t>Supplementary information</w:t>
      </w:r>
    </w:p>
    <w:p w14:paraId="52B1F562" w14:textId="77777777" w:rsidR="008F3A22" w:rsidRPr="00DA5119" w:rsidRDefault="008F3A22" w:rsidP="00DA5119">
      <w:pPr>
        <w:pStyle w:val="NoSpacing"/>
        <w:ind w:left="-90"/>
        <w:rPr>
          <w:b/>
          <w:sz w:val="20"/>
          <w:szCs w:val="20"/>
        </w:rPr>
      </w:pPr>
    </w:p>
    <w:p w14:paraId="39D794DF" w14:textId="77777777" w:rsidR="008F3A22" w:rsidRPr="00DA5119" w:rsidRDefault="008F3A22" w:rsidP="00DA5119">
      <w:pPr>
        <w:pStyle w:val="NoSpacing"/>
        <w:ind w:left="-90"/>
        <w:rPr>
          <w:b/>
          <w:sz w:val="20"/>
          <w:szCs w:val="20"/>
        </w:rPr>
      </w:pPr>
    </w:p>
    <w:p w14:paraId="79077E56" w14:textId="62980B92" w:rsidR="008F3A22" w:rsidRPr="00DA5119" w:rsidRDefault="007F3A28" w:rsidP="00DA5119">
      <w:pPr>
        <w:pStyle w:val="Heading3"/>
        <w:ind w:left="-90"/>
        <w:rPr>
          <w:rFonts w:asciiTheme="minorHAnsi" w:hAnsiTheme="minorHAnsi"/>
          <w:lang w:val="en-US"/>
        </w:rPr>
      </w:pPr>
      <w:r w:rsidRPr="00DA5119">
        <w:rPr>
          <w:rFonts w:asciiTheme="minorHAnsi" w:hAnsiTheme="minorHAnsi"/>
          <w:lang w:val="en-US"/>
        </w:rPr>
        <w:t xml:space="preserve">S1 </w:t>
      </w:r>
      <w:r w:rsidR="008F3A22" w:rsidRPr="00DA5119">
        <w:rPr>
          <w:rFonts w:asciiTheme="minorHAnsi" w:hAnsiTheme="minorHAnsi"/>
          <w:lang w:val="en-US"/>
        </w:rPr>
        <w:t>Participating models</w:t>
      </w:r>
      <w:r w:rsidR="00442DBA" w:rsidRPr="00DA5119">
        <w:rPr>
          <w:rFonts w:asciiTheme="minorHAnsi" w:hAnsiTheme="minorHAnsi"/>
          <w:lang w:val="en-US"/>
        </w:rPr>
        <w:t xml:space="preserve"> in the NDC analysis</w:t>
      </w:r>
    </w:p>
    <w:p w14:paraId="7D3F1B4E" w14:textId="77777777" w:rsidR="008F3A22" w:rsidRPr="00DA5119" w:rsidRDefault="008F3A22" w:rsidP="00DA5119">
      <w:pPr>
        <w:pStyle w:val="NoSpacing"/>
        <w:ind w:left="-90"/>
        <w:rPr>
          <w:b/>
          <w:sz w:val="20"/>
          <w:szCs w:val="20"/>
        </w:rPr>
      </w:pPr>
    </w:p>
    <w:p w14:paraId="3B21D20A" w14:textId="11EDE8AD" w:rsidR="008F3A22" w:rsidRPr="00DA5119" w:rsidRDefault="008F3A22" w:rsidP="00DA5119">
      <w:pPr>
        <w:pStyle w:val="NoSpacing"/>
        <w:ind w:left="-90"/>
        <w:rPr>
          <w:sz w:val="20"/>
          <w:szCs w:val="20"/>
        </w:rPr>
      </w:pPr>
      <w:r w:rsidRPr="00DA5119">
        <w:rPr>
          <w:b/>
          <w:sz w:val="20"/>
          <w:szCs w:val="20"/>
        </w:rPr>
        <w:t>Table S1</w:t>
      </w:r>
      <w:r w:rsidR="007F3A28" w:rsidRPr="00DA5119">
        <w:rPr>
          <w:b/>
          <w:sz w:val="20"/>
          <w:szCs w:val="20"/>
        </w:rPr>
        <w:t>.1</w:t>
      </w:r>
      <w:r w:rsidRPr="00DA5119">
        <w:rPr>
          <w:sz w:val="20"/>
          <w:szCs w:val="20"/>
        </w:rPr>
        <w:t xml:space="preserve">: Models participating in the EMF30 </w:t>
      </w:r>
      <w:r w:rsidR="002E155C" w:rsidRPr="00DA5119">
        <w:rPr>
          <w:sz w:val="20"/>
          <w:szCs w:val="20"/>
        </w:rPr>
        <w:t>NDC</w:t>
      </w:r>
      <w:r w:rsidRPr="00DA5119">
        <w:rPr>
          <w:sz w:val="20"/>
          <w:szCs w:val="20"/>
        </w:rPr>
        <w:t xml:space="preserve"> scenarios </w:t>
      </w:r>
    </w:p>
    <w:tbl>
      <w:tblPr>
        <w:tblStyle w:val="LightShading-Accent1"/>
        <w:tblW w:w="5827" w:type="pct"/>
        <w:tblLayout w:type="fixed"/>
        <w:tblLook w:val="04A0" w:firstRow="1" w:lastRow="0" w:firstColumn="1" w:lastColumn="0" w:noHBand="0" w:noVBand="1"/>
      </w:tblPr>
      <w:tblGrid>
        <w:gridCol w:w="1745"/>
        <w:gridCol w:w="2158"/>
        <w:gridCol w:w="1701"/>
        <w:gridCol w:w="2444"/>
        <w:gridCol w:w="1169"/>
        <w:gridCol w:w="1167"/>
      </w:tblGrid>
      <w:tr w:rsidR="00F703E0" w:rsidRPr="00DA5119" w14:paraId="3D0C2D7D" w14:textId="77777777" w:rsidTr="00F703E0">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40" w:type="pct"/>
            <w:tcBorders>
              <w:top w:val="none" w:sz="0" w:space="0" w:color="auto"/>
              <w:left w:val="none" w:sz="0" w:space="0" w:color="auto"/>
              <w:bottom w:val="none" w:sz="0" w:space="0" w:color="auto"/>
              <w:right w:val="none" w:sz="0" w:space="0" w:color="auto"/>
            </w:tcBorders>
          </w:tcPr>
          <w:p w14:paraId="1B83AD84" w14:textId="77777777" w:rsidR="00F703E0" w:rsidRPr="00DA5119" w:rsidRDefault="00F703E0" w:rsidP="00DA5119">
            <w:pPr>
              <w:ind w:left="-90"/>
              <w:jc w:val="both"/>
            </w:pPr>
            <w:r w:rsidRPr="00DA5119">
              <w:t>Model</w:t>
            </w:r>
          </w:p>
        </w:tc>
        <w:tc>
          <w:tcPr>
            <w:tcW w:w="1039" w:type="pct"/>
            <w:tcBorders>
              <w:top w:val="none" w:sz="0" w:space="0" w:color="auto"/>
              <w:left w:val="none" w:sz="0" w:space="0" w:color="auto"/>
              <w:bottom w:val="none" w:sz="0" w:space="0" w:color="auto"/>
              <w:right w:val="none" w:sz="0" w:space="0" w:color="auto"/>
            </w:tcBorders>
          </w:tcPr>
          <w:p w14:paraId="25A4594D" w14:textId="77777777" w:rsidR="00F703E0" w:rsidRPr="00DA5119" w:rsidRDefault="00F703E0" w:rsidP="00DA5119">
            <w:pPr>
              <w:ind w:left="-90"/>
              <w:jc w:val="both"/>
              <w:cnfStyle w:val="100000000000" w:firstRow="1" w:lastRow="0" w:firstColumn="0" w:lastColumn="0" w:oddVBand="0" w:evenVBand="0" w:oddHBand="0" w:evenHBand="0" w:firstRowFirstColumn="0" w:firstRowLastColumn="0" w:lastRowFirstColumn="0" w:lastRowLastColumn="0"/>
            </w:pPr>
            <w:r w:rsidRPr="00DA5119">
              <w:t>Institute</w:t>
            </w:r>
          </w:p>
        </w:tc>
        <w:tc>
          <w:tcPr>
            <w:tcW w:w="819" w:type="pct"/>
            <w:tcBorders>
              <w:top w:val="none" w:sz="0" w:space="0" w:color="auto"/>
              <w:left w:val="none" w:sz="0" w:space="0" w:color="auto"/>
              <w:bottom w:val="none" w:sz="0" w:space="0" w:color="auto"/>
              <w:right w:val="none" w:sz="0" w:space="0" w:color="auto"/>
            </w:tcBorders>
          </w:tcPr>
          <w:p w14:paraId="2D02A93A" w14:textId="77777777" w:rsidR="00F703E0" w:rsidRPr="00DA5119" w:rsidRDefault="00F703E0" w:rsidP="00DA5119">
            <w:pPr>
              <w:ind w:left="-90"/>
              <w:jc w:val="both"/>
              <w:cnfStyle w:val="100000000000" w:firstRow="1" w:lastRow="0" w:firstColumn="0" w:lastColumn="0" w:oddVBand="0" w:evenVBand="0" w:oddHBand="0" w:evenHBand="0" w:firstRowFirstColumn="0" w:firstRowLastColumn="0" w:lastRowFirstColumn="0" w:lastRowLastColumn="0"/>
            </w:pPr>
            <w:r w:rsidRPr="00DA5119">
              <w:t>Economy representation</w:t>
            </w:r>
          </w:p>
        </w:tc>
        <w:tc>
          <w:tcPr>
            <w:tcW w:w="1177" w:type="pct"/>
            <w:tcBorders>
              <w:top w:val="none" w:sz="0" w:space="0" w:color="auto"/>
              <w:left w:val="none" w:sz="0" w:space="0" w:color="auto"/>
              <w:bottom w:val="none" w:sz="0" w:space="0" w:color="auto"/>
              <w:right w:val="none" w:sz="0" w:space="0" w:color="auto"/>
            </w:tcBorders>
          </w:tcPr>
          <w:p w14:paraId="5A22F022" w14:textId="77777777" w:rsidR="00F703E0" w:rsidRPr="00DA5119" w:rsidRDefault="00F703E0" w:rsidP="00DA5119">
            <w:pPr>
              <w:ind w:left="-90"/>
              <w:jc w:val="both"/>
              <w:cnfStyle w:val="100000000000" w:firstRow="1" w:lastRow="0" w:firstColumn="0" w:lastColumn="0" w:oddVBand="0" w:evenVBand="0" w:oddHBand="0" w:evenHBand="0" w:firstRowFirstColumn="0" w:firstRowLastColumn="0" w:lastRowFirstColumn="0" w:lastRowLastColumn="0"/>
            </w:pPr>
            <w:r w:rsidRPr="00DA5119">
              <w:t>Solution dynamics</w:t>
            </w:r>
          </w:p>
        </w:tc>
        <w:tc>
          <w:tcPr>
            <w:tcW w:w="563" w:type="pct"/>
            <w:tcBorders>
              <w:top w:val="none" w:sz="0" w:space="0" w:color="auto"/>
              <w:left w:val="none" w:sz="0" w:space="0" w:color="auto"/>
              <w:bottom w:val="none" w:sz="0" w:space="0" w:color="auto"/>
              <w:right w:val="none" w:sz="0" w:space="0" w:color="auto"/>
            </w:tcBorders>
          </w:tcPr>
          <w:p w14:paraId="0AF80571" w14:textId="2573EA39" w:rsidR="00F703E0" w:rsidRPr="00DA5119" w:rsidRDefault="00F703E0" w:rsidP="00DA5119">
            <w:pPr>
              <w:ind w:left="-90"/>
              <w:jc w:val="both"/>
              <w:cnfStyle w:val="100000000000" w:firstRow="1" w:lastRow="0" w:firstColumn="0" w:lastColumn="0" w:oddVBand="0" w:evenVBand="0" w:oddHBand="0" w:evenHBand="0" w:firstRowFirstColumn="0" w:firstRowLastColumn="0" w:lastRowFirstColumn="0" w:lastRowLastColumn="0"/>
            </w:pPr>
            <w:r w:rsidRPr="00DA5119">
              <w:t>Time horizon</w:t>
            </w:r>
          </w:p>
        </w:tc>
        <w:tc>
          <w:tcPr>
            <w:tcW w:w="562" w:type="pct"/>
            <w:tcBorders>
              <w:top w:val="none" w:sz="0" w:space="0" w:color="auto"/>
              <w:left w:val="none" w:sz="0" w:space="0" w:color="auto"/>
              <w:bottom w:val="none" w:sz="0" w:space="0" w:color="auto"/>
              <w:right w:val="none" w:sz="0" w:space="0" w:color="auto"/>
            </w:tcBorders>
          </w:tcPr>
          <w:p w14:paraId="09632EEF" w14:textId="7EE3F9ED" w:rsidR="00F703E0" w:rsidRPr="00DA5119" w:rsidRDefault="00F703E0" w:rsidP="00DA5119">
            <w:pPr>
              <w:ind w:left="-90"/>
              <w:jc w:val="both"/>
              <w:cnfStyle w:val="100000000000" w:firstRow="1" w:lastRow="0" w:firstColumn="0" w:lastColumn="0" w:oddVBand="0" w:evenVBand="0" w:oddHBand="0" w:evenHBand="0" w:firstRowFirstColumn="0" w:firstRowLastColumn="0" w:lastRowFirstColumn="0" w:lastRowLastColumn="0"/>
            </w:pPr>
            <w:r w:rsidRPr="00DA5119">
              <w:t>Scenarios *</w:t>
            </w:r>
          </w:p>
        </w:tc>
      </w:tr>
      <w:tr w:rsidR="00F703E0" w:rsidRPr="00DA5119" w14:paraId="0087EF5B" w14:textId="77777777" w:rsidTr="00F703E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40" w:type="pct"/>
            <w:tcBorders>
              <w:left w:val="none" w:sz="0" w:space="0" w:color="auto"/>
              <w:right w:val="none" w:sz="0" w:space="0" w:color="auto"/>
            </w:tcBorders>
          </w:tcPr>
          <w:p w14:paraId="1739E3C3" w14:textId="77777777" w:rsidR="00F703E0" w:rsidRPr="00DA5119" w:rsidRDefault="00F703E0" w:rsidP="00DA5119">
            <w:pPr>
              <w:pStyle w:val="NoSpacing"/>
              <w:ind w:left="-90"/>
              <w:rPr>
                <w:b w:val="0"/>
                <w:sz w:val="20"/>
                <w:szCs w:val="20"/>
              </w:rPr>
            </w:pPr>
            <w:r w:rsidRPr="00DA5119">
              <w:rPr>
                <w:b w:val="0"/>
                <w:sz w:val="20"/>
                <w:szCs w:val="20"/>
              </w:rPr>
              <w:t xml:space="preserve">AIM/CGE                     </w:t>
            </w:r>
          </w:p>
        </w:tc>
        <w:tc>
          <w:tcPr>
            <w:tcW w:w="1039" w:type="pct"/>
            <w:tcBorders>
              <w:left w:val="none" w:sz="0" w:space="0" w:color="auto"/>
              <w:right w:val="none" w:sz="0" w:space="0" w:color="auto"/>
            </w:tcBorders>
          </w:tcPr>
          <w:p w14:paraId="22E37108" w14:textId="77777777"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NIES, Japan</w:t>
            </w:r>
          </w:p>
        </w:tc>
        <w:tc>
          <w:tcPr>
            <w:tcW w:w="819" w:type="pct"/>
            <w:tcBorders>
              <w:left w:val="none" w:sz="0" w:space="0" w:color="auto"/>
              <w:right w:val="none" w:sz="0" w:space="0" w:color="auto"/>
            </w:tcBorders>
          </w:tcPr>
          <w:p w14:paraId="0A73F46F" w14:textId="77777777"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General equilibrium</w:t>
            </w:r>
          </w:p>
        </w:tc>
        <w:tc>
          <w:tcPr>
            <w:tcW w:w="1177" w:type="pct"/>
            <w:tcBorders>
              <w:left w:val="none" w:sz="0" w:space="0" w:color="auto"/>
              <w:right w:val="none" w:sz="0" w:space="0" w:color="auto"/>
            </w:tcBorders>
          </w:tcPr>
          <w:p w14:paraId="1D750677" w14:textId="77777777"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Recursive dynamic</w:t>
            </w:r>
          </w:p>
        </w:tc>
        <w:tc>
          <w:tcPr>
            <w:tcW w:w="563" w:type="pct"/>
            <w:tcBorders>
              <w:left w:val="none" w:sz="0" w:space="0" w:color="auto"/>
              <w:right w:val="none" w:sz="0" w:space="0" w:color="auto"/>
            </w:tcBorders>
          </w:tcPr>
          <w:p w14:paraId="4F9A057D" w14:textId="275700C2"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2100</w:t>
            </w:r>
          </w:p>
        </w:tc>
        <w:tc>
          <w:tcPr>
            <w:tcW w:w="562" w:type="pct"/>
            <w:tcBorders>
              <w:left w:val="none" w:sz="0" w:space="0" w:color="auto"/>
              <w:right w:val="none" w:sz="0" w:space="0" w:color="auto"/>
            </w:tcBorders>
          </w:tcPr>
          <w:p w14:paraId="2D85C94A" w14:textId="67F57BC4"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All ***</w:t>
            </w:r>
          </w:p>
        </w:tc>
      </w:tr>
      <w:tr w:rsidR="00F703E0" w:rsidRPr="00DA5119" w14:paraId="5228334D" w14:textId="77777777" w:rsidTr="00F703E0">
        <w:trPr>
          <w:trHeight w:val="232"/>
        </w:trPr>
        <w:tc>
          <w:tcPr>
            <w:cnfStyle w:val="001000000000" w:firstRow="0" w:lastRow="0" w:firstColumn="1" w:lastColumn="0" w:oddVBand="0" w:evenVBand="0" w:oddHBand="0" w:evenHBand="0" w:firstRowFirstColumn="0" w:firstRowLastColumn="0" w:lastRowFirstColumn="0" w:lastRowLastColumn="0"/>
            <w:tcW w:w="840" w:type="pct"/>
          </w:tcPr>
          <w:p w14:paraId="79F636DE" w14:textId="77777777" w:rsidR="00F703E0" w:rsidRPr="00DA5119" w:rsidRDefault="00F703E0" w:rsidP="00DA5119">
            <w:pPr>
              <w:pStyle w:val="NoSpacing"/>
              <w:ind w:left="-90"/>
              <w:rPr>
                <w:b w:val="0"/>
                <w:sz w:val="20"/>
                <w:szCs w:val="20"/>
              </w:rPr>
            </w:pPr>
            <w:r w:rsidRPr="00DA5119">
              <w:rPr>
                <w:b w:val="0"/>
                <w:sz w:val="20"/>
                <w:szCs w:val="20"/>
              </w:rPr>
              <w:t xml:space="preserve">DNE21+  </w:t>
            </w:r>
          </w:p>
        </w:tc>
        <w:tc>
          <w:tcPr>
            <w:tcW w:w="1039" w:type="pct"/>
          </w:tcPr>
          <w:p w14:paraId="75A3E76B" w14:textId="77777777"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RITE, Japan</w:t>
            </w:r>
          </w:p>
        </w:tc>
        <w:tc>
          <w:tcPr>
            <w:tcW w:w="819" w:type="pct"/>
          </w:tcPr>
          <w:p w14:paraId="2BF1FA85" w14:textId="77777777"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General equilibrium</w:t>
            </w:r>
          </w:p>
        </w:tc>
        <w:tc>
          <w:tcPr>
            <w:tcW w:w="1177" w:type="pct"/>
          </w:tcPr>
          <w:p w14:paraId="7D248386" w14:textId="77777777"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Intertemporal optimization</w:t>
            </w:r>
          </w:p>
        </w:tc>
        <w:tc>
          <w:tcPr>
            <w:tcW w:w="563" w:type="pct"/>
          </w:tcPr>
          <w:p w14:paraId="17496B8B" w14:textId="4FC4D0F8"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2100</w:t>
            </w:r>
          </w:p>
        </w:tc>
        <w:tc>
          <w:tcPr>
            <w:tcW w:w="562" w:type="pct"/>
          </w:tcPr>
          <w:p w14:paraId="7CD6A942" w14:textId="62D16CD7"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 xml:space="preserve">All </w:t>
            </w:r>
          </w:p>
        </w:tc>
      </w:tr>
      <w:tr w:rsidR="00F703E0" w:rsidRPr="00DA5119" w14:paraId="057143F4" w14:textId="77777777" w:rsidTr="00F703E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40" w:type="pct"/>
            <w:tcBorders>
              <w:left w:val="none" w:sz="0" w:space="0" w:color="auto"/>
              <w:right w:val="none" w:sz="0" w:space="0" w:color="auto"/>
            </w:tcBorders>
          </w:tcPr>
          <w:p w14:paraId="6B44E138" w14:textId="77777777" w:rsidR="00F703E0" w:rsidRPr="00DA5119" w:rsidRDefault="00F703E0" w:rsidP="00DA5119">
            <w:pPr>
              <w:pStyle w:val="NoSpacing"/>
              <w:ind w:left="-90"/>
              <w:rPr>
                <w:b w:val="0"/>
                <w:sz w:val="20"/>
                <w:szCs w:val="20"/>
              </w:rPr>
            </w:pPr>
            <w:r w:rsidRPr="00DA5119">
              <w:rPr>
                <w:b w:val="0"/>
                <w:sz w:val="20"/>
                <w:szCs w:val="20"/>
              </w:rPr>
              <w:t>ENV-Linkages</w:t>
            </w:r>
          </w:p>
        </w:tc>
        <w:tc>
          <w:tcPr>
            <w:tcW w:w="1039" w:type="pct"/>
            <w:tcBorders>
              <w:left w:val="none" w:sz="0" w:space="0" w:color="auto"/>
              <w:right w:val="none" w:sz="0" w:space="0" w:color="auto"/>
            </w:tcBorders>
          </w:tcPr>
          <w:p w14:paraId="4C810FCA" w14:textId="77777777"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OECD, France</w:t>
            </w:r>
          </w:p>
        </w:tc>
        <w:tc>
          <w:tcPr>
            <w:tcW w:w="819" w:type="pct"/>
            <w:tcBorders>
              <w:left w:val="none" w:sz="0" w:space="0" w:color="auto"/>
              <w:right w:val="none" w:sz="0" w:space="0" w:color="auto"/>
            </w:tcBorders>
          </w:tcPr>
          <w:p w14:paraId="0E478856" w14:textId="77777777"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General equilibrium</w:t>
            </w:r>
          </w:p>
        </w:tc>
        <w:tc>
          <w:tcPr>
            <w:tcW w:w="1177" w:type="pct"/>
            <w:tcBorders>
              <w:left w:val="none" w:sz="0" w:space="0" w:color="auto"/>
              <w:right w:val="none" w:sz="0" w:space="0" w:color="auto"/>
            </w:tcBorders>
          </w:tcPr>
          <w:p w14:paraId="6945F773" w14:textId="77777777"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Recursive dynamic</w:t>
            </w:r>
          </w:p>
        </w:tc>
        <w:tc>
          <w:tcPr>
            <w:tcW w:w="563" w:type="pct"/>
            <w:tcBorders>
              <w:left w:val="none" w:sz="0" w:space="0" w:color="auto"/>
              <w:right w:val="none" w:sz="0" w:space="0" w:color="auto"/>
            </w:tcBorders>
          </w:tcPr>
          <w:p w14:paraId="4521CCB2" w14:textId="4C91974E"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2050</w:t>
            </w:r>
          </w:p>
        </w:tc>
        <w:tc>
          <w:tcPr>
            <w:tcW w:w="562" w:type="pct"/>
            <w:tcBorders>
              <w:left w:val="none" w:sz="0" w:space="0" w:color="auto"/>
              <w:right w:val="none" w:sz="0" w:space="0" w:color="auto"/>
            </w:tcBorders>
          </w:tcPr>
          <w:p w14:paraId="3C32D710" w14:textId="76AF7B80"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1,2,3,4</w:t>
            </w:r>
          </w:p>
        </w:tc>
      </w:tr>
      <w:tr w:rsidR="00F703E0" w:rsidRPr="00DA5119" w14:paraId="4CC023C1" w14:textId="77777777" w:rsidTr="00F703E0">
        <w:trPr>
          <w:trHeight w:val="232"/>
        </w:trPr>
        <w:tc>
          <w:tcPr>
            <w:cnfStyle w:val="001000000000" w:firstRow="0" w:lastRow="0" w:firstColumn="1" w:lastColumn="0" w:oddVBand="0" w:evenVBand="0" w:oddHBand="0" w:evenHBand="0" w:firstRowFirstColumn="0" w:firstRowLastColumn="0" w:lastRowFirstColumn="0" w:lastRowLastColumn="0"/>
            <w:tcW w:w="840" w:type="pct"/>
          </w:tcPr>
          <w:p w14:paraId="65489186" w14:textId="77777777" w:rsidR="00F703E0" w:rsidRPr="00DA5119" w:rsidRDefault="00F703E0" w:rsidP="00DA5119">
            <w:pPr>
              <w:pStyle w:val="NoSpacing"/>
              <w:ind w:left="-90"/>
              <w:rPr>
                <w:b w:val="0"/>
                <w:sz w:val="20"/>
                <w:szCs w:val="20"/>
              </w:rPr>
            </w:pPr>
            <w:r w:rsidRPr="00DA5119">
              <w:rPr>
                <w:b w:val="0"/>
                <w:sz w:val="20"/>
                <w:szCs w:val="20"/>
              </w:rPr>
              <w:t xml:space="preserve">IMAGE                          </w:t>
            </w:r>
          </w:p>
        </w:tc>
        <w:tc>
          <w:tcPr>
            <w:tcW w:w="1039" w:type="pct"/>
          </w:tcPr>
          <w:p w14:paraId="2C03B020" w14:textId="77777777"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PBL/UU, The Netherlands</w:t>
            </w:r>
          </w:p>
        </w:tc>
        <w:tc>
          <w:tcPr>
            <w:tcW w:w="819" w:type="pct"/>
          </w:tcPr>
          <w:p w14:paraId="24888B6D" w14:textId="77777777"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Partial equilibrium</w:t>
            </w:r>
          </w:p>
        </w:tc>
        <w:tc>
          <w:tcPr>
            <w:tcW w:w="1177" w:type="pct"/>
          </w:tcPr>
          <w:p w14:paraId="2559993C" w14:textId="77777777"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Recursive dynamic</w:t>
            </w:r>
          </w:p>
        </w:tc>
        <w:tc>
          <w:tcPr>
            <w:tcW w:w="563" w:type="pct"/>
          </w:tcPr>
          <w:p w14:paraId="42F59E06" w14:textId="086663AE"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2100</w:t>
            </w:r>
          </w:p>
        </w:tc>
        <w:tc>
          <w:tcPr>
            <w:tcW w:w="562" w:type="pct"/>
          </w:tcPr>
          <w:p w14:paraId="795854F5" w14:textId="3CB6916C"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All</w:t>
            </w:r>
          </w:p>
        </w:tc>
      </w:tr>
      <w:tr w:rsidR="00F703E0" w:rsidRPr="00DA5119" w14:paraId="2C1B7253" w14:textId="77777777" w:rsidTr="00F703E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40" w:type="pct"/>
            <w:tcBorders>
              <w:left w:val="none" w:sz="0" w:space="0" w:color="auto"/>
              <w:right w:val="none" w:sz="0" w:space="0" w:color="auto"/>
            </w:tcBorders>
          </w:tcPr>
          <w:p w14:paraId="02287A8F" w14:textId="77777777" w:rsidR="00F703E0" w:rsidRPr="00DA5119" w:rsidRDefault="00F703E0" w:rsidP="00DA5119">
            <w:pPr>
              <w:pStyle w:val="NoSpacing"/>
              <w:ind w:left="-90"/>
              <w:rPr>
                <w:b w:val="0"/>
                <w:sz w:val="20"/>
                <w:szCs w:val="20"/>
              </w:rPr>
            </w:pPr>
            <w:r w:rsidRPr="00DA5119">
              <w:rPr>
                <w:b w:val="0"/>
                <w:sz w:val="20"/>
                <w:szCs w:val="20"/>
              </w:rPr>
              <w:t xml:space="preserve">MESSAGE-GLOBIOM                     </w:t>
            </w:r>
          </w:p>
        </w:tc>
        <w:tc>
          <w:tcPr>
            <w:tcW w:w="1039" w:type="pct"/>
            <w:tcBorders>
              <w:left w:val="none" w:sz="0" w:space="0" w:color="auto"/>
              <w:right w:val="none" w:sz="0" w:space="0" w:color="auto"/>
            </w:tcBorders>
          </w:tcPr>
          <w:p w14:paraId="65F27273" w14:textId="77777777"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IIASA, Austria</w:t>
            </w:r>
          </w:p>
        </w:tc>
        <w:tc>
          <w:tcPr>
            <w:tcW w:w="819" w:type="pct"/>
            <w:tcBorders>
              <w:left w:val="none" w:sz="0" w:space="0" w:color="auto"/>
              <w:right w:val="none" w:sz="0" w:space="0" w:color="auto"/>
            </w:tcBorders>
          </w:tcPr>
          <w:p w14:paraId="211D8FF5" w14:textId="77777777"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General equilibrium</w:t>
            </w:r>
          </w:p>
        </w:tc>
        <w:tc>
          <w:tcPr>
            <w:tcW w:w="1177" w:type="pct"/>
            <w:tcBorders>
              <w:left w:val="none" w:sz="0" w:space="0" w:color="auto"/>
              <w:right w:val="none" w:sz="0" w:space="0" w:color="auto"/>
            </w:tcBorders>
          </w:tcPr>
          <w:p w14:paraId="06285CE2" w14:textId="77777777"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Intertemporal optimization</w:t>
            </w:r>
          </w:p>
        </w:tc>
        <w:tc>
          <w:tcPr>
            <w:tcW w:w="563" w:type="pct"/>
            <w:tcBorders>
              <w:left w:val="none" w:sz="0" w:space="0" w:color="auto"/>
              <w:right w:val="none" w:sz="0" w:space="0" w:color="auto"/>
            </w:tcBorders>
          </w:tcPr>
          <w:p w14:paraId="410EC1E4" w14:textId="5B0AC39B"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2100</w:t>
            </w:r>
          </w:p>
        </w:tc>
        <w:tc>
          <w:tcPr>
            <w:tcW w:w="562" w:type="pct"/>
            <w:tcBorders>
              <w:left w:val="none" w:sz="0" w:space="0" w:color="auto"/>
              <w:right w:val="none" w:sz="0" w:space="0" w:color="auto"/>
            </w:tcBorders>
          </w:tcPr>
          <w:p w14:paraId="55800A64" w14:textId="63BC1216"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All **</w:t>
            </w:r>
          </w:p>
        </w:tc>
      </w:tr>
      <w:tr w:rsidR="00F703E0" w:rsidRPr="00DA5119" w14:paraId="7E292865" w14:textId="77777777" w:rsidTr="00F703E0">
        <w:trPr>
          <w:trHeight w:val="232"/>
        </w:trPr>
        <w:tc>
          <w:tcPr>
            <w:cnfStyle w:val="001000000000" w:firstRow="0" w:lastRow="0" w:firstColumn="1" w:lastColumn="0" w:oddVBand="0" w:evenVBand="0" w:oddHBand="0" w:evenHBand="0" w:firstRowFirstColumn="0" w:firstRowLastColumn="0" w:lastRowFirstColumn="0" w:lastRowLastColumn="0"/>
            <w:tcW w:w="840" w:type="pct"/>
          </w:tcPr>
          <w:p w14:paraId="33FDA562" w14:textId="77777777" w:rsidR="00F703E0" w:rsidRPr="00DA5119" w:rsidRDefault="00F703E0" w:rsidP="00DA5119">
            <w:pPr>
              <w:pStyle w:val="NoSpacing"/>
              <w:ind w:left="-90"/>
              <w:rPr>
                <w:b w:val="0"/>
                <w:sz w:val="20"/>
                <w:szCs w:val="20"/>
              </w:rPr>
            </w:pPr>
            <w:r w:rsidRPr="00DA5119">
              <w:rPr>
                <w:b w:val="0"/>
                <w:sz w:val="20"/>
                <w:szCs w:val="20"/>
              </w:rPr>
              <w:t xml:space="preserve">POLES                          </w:t>
            </w:r>
          </w:p>
        </w:tc>
        <w:tc>
          <w:tcPr>
            <w:tcW w:w="1039" w:type="pct"/>
          </w:tcPr>
          <w:p w14:paraId="24BE622A" w14:textId="77777777"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JRC, Spain</w:t>
            </w:r>
          </w:p>
        </w:tc>
        <w:tc>
          <w:tcPr>
            <w:tcW w:w="819" w:type="pct"/>
          </w:tcPr>
          <w:p w14:paraId="36C8BCA0" w14:textId="77777777"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Partial equilibrium</w:t>
            </w:r>
          </w:p>
        </w:tc>
        <w:tc>
          <w:tcPr>
            <w:tcW w:w="1177" w:type="pct"/>
          </w:tcPr>
          <w:p w14:paraId="4DF91805" w14:textId="77777777"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Recursive dynamic</w:t>
            </w:r>
          </w:p>
        </w:tc>
        <w:tc>
          <w:tcPr>
            <w:tcW w:w="563" w:type="pct"/>
          </w:tcPr>
          <w:p w14:paraId="6B618BC2" w14:textId="46FEF064"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2100</w:t>
            </w:r>
          </w:p>
        </w:tc>
        <w:tc>
          <w:tcPr>
            <w:tcW w:w="562" w:type="pct"/>
          </w:tcPr>
          <w:p w14:paraId="681B661C" w14:textId="6E3110E1"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All</w:t>
            </w:r>
          </w:p>
        </w:tc>
      </w:tr>
      <w:tr w:rsidR="00F703E0" w:rsidRPr="00DA5119" w14:paraId="275CAECE" w14:textId="77777777" w:rsidTr="00F703E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40" w:type="pct"/>
            <w:tcBorders>
              <w:left w:val="none" w:sz="0" w:space="0" w:color="auto"/>
              <w:right w:val="none" w:sz="0" w:space="0" w:color="auto"/>
            </w:tcBorders>
          </w:tcPr>
          <w:p w14:paraId="0BFF9DEF" w14:textId="77777777" w:rsidR="00F703E0" w:rsidRPr="00DA5119" w:rsidRDefault="00F703E0" w:rsidP="00DA5119">
            <w:pPr>
              <w:pStyle w:val="NoSpacing"/>
              <w:ind w:left="-90"/>
              <w:rPr>
                <w:b w:val="0"/>
                <w:sz w:val="20"/>
                <w:szCs w:val="20"/>
              </w:rPr>
            </w:pPr>
            <w:r w:rsidRPr="00DA5119">
              <w:rPr>
                <w:b w:val="0"/>
                <w:sz w:val="20"/>
                <w:szCs w:val="20"/>
              </w:rPr>
              <w:t xml:space="preserve">REMIND                       </w:t>
            </w:r>
          </w:p>
        </w:tc>
        <w:tc>
          <w:tcPr>
            <w:tcW w:w="1039" w:type="pct"/>
            <w:tcBorders>
              <w:left w:val="none" w:sz="0" w:space="0" w:color="auto"/>
              <w:right w:val="none" w:sz="0" w:space="0" w:color="auto"/>
            </w:tcBorders>
          </w:tcPr>
          <w:p w14:paraId="685A9B62" w14:textId="77777777"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PIK, Germany</w:t>
            </w:r>
          </w:p>
        </w:tc>
        <w:tc>
          <w:tcPr>
            <w:tcW w:w="819" w:type="pct"/>
            <w:tcBorders>
              <w:left w:val="none" w:sz="0" w:space="0" w:color="auto"/>
              <w:right w:val="none" w:sz="0" w:space="0" w:color="auto"/>
            </w:tcBorders>
          </w:tcPr>
          <w:p w14:paraId="7707FC54" w14:textId="77777777"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General equilibrium</w:t>
            </w:r>
          </w:p>
        </w:tc>
        <w:tc>
          <w:tcPr>
            <w:tcW w:w="1177" w:type="pct"/>
            <w:tcBorders>
              <w:left w:val="none" w:sz="0" w:space="0" w:color="auto"/>
              <w:right w:val="none" w:sz="0" w:space="0" w:color="auto"/>
            </w:tcBorders>
          </w:tcPr>
          <w:p w14:paraId="08681AC7" w14:textId="77777777"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Intertemporal optimization</w:t>
            </w:r>
          </w:p>
        </w:tc>
        <w:tc>
          <w:tcPr>
            <w:tcW w:w="563" w:type="pct"/>
            <w:tcBorders>
              <w:left w:val="none" w:sz="0" w:space="0" w:color="auto"/>
              <w:right w:val="none" w:sz="0" w:space="0" w:color="auto"/>
            </w:tcBorders>
          </w:tcPr>
          <w:p w14:paraId="40A10E56" w14:textId="3D59196D"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2100</w:t>
            </w:r>
          </w:p>
        </w:tc>
        <w:tc>
          <w:tcPr>
            <w:tcW w:w="562" w:type="pct"/>
            <w:tcBorders>
              <w:left w:val="none" w:sz="0" w:space="0" w:color="auto"/>
              <w:right w:val="none" w:sz="0" w:space="0" w:color="auto"/>
            </w:tcBorders>
          </w:tcPr>
          <w:p w14:paraId="1CD80C4D" w14:textId="183B93C8"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All ***</w:t>
            </w:r>
          </w:p>
        </w:tc>
      </w:tr>
      <w:tr w:rsidR="00F703E0" w:rsidRPr="00DA5119" w14:paraId="23646080" w14:textId="77777777" w:rsidTr="00F703E0">
        <w:trPr>
          <w:trHeight w:val="232"/>
        </w:trPr>
        <w:tc>
          <w:tcPr>
            <w:cnfStyle w:val="001000000000" w:firstRow="0" w:lastRow="0" w:firstColumn="1" w:lastColumn="0" w:oddVBand="0" w:evenVBand="0" w:oddHBand="0" w:evenHBand="0" w:firstRowFirstColumn="0" w:firstRowLastColumn="0" w:lastRowFirstColumn="0" w:lastRowLastColumn="0"/>
            <w:tcW w:w="840" w:type="pct"/>
          </w:tcPr>
          <w:p w14:paraId="29AADD98" w14:textId="45A9E2E7" w:rsidR="00F703E0" w:rsidRPr="00DA5119" w:rsidRDefault="00F703E0" w:rsidP="00DA5119">
            <w:pPr>
              <w:ind w:left="-90"/>
              <w:rPr>
                <w:b w:val="0"/>
                <w:sz w:val="20"/>
                <w:szCs w:val="20"/>
              </w:rPr>
            </w:pPr>
            <w:r w:rsidRPr="00DA5119">
              <w:rPr>
                <w:b w:val="0"/>
                <w:sz w:val="20"/>
                <w:szCs w:val="20"/>
              </w:rPr>
              <w:t xml:space="preserve">WITCH-GLOBIOM                         </w:t>
            </w:r>
          </w:p>
        </w:tc>
        <w:tc>
          <w:tcPr>
            <w:tcW w:w="1039" w:type="pct"/>
          </w:tcPr>
          <w:p w14:paraId="1B03D202" w14:textId="2172A0E5" w:rsidR="00F703E0" w:rsidRPr="00DA5119" w:rsidRDefault="00F703E0"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FEEM-CMCC, Italy</w:t>
            </w:r>
          </w:p>
        </w:tc>
        <w:tc>
          <w:tcPr>
            <w:tcW w:w="819" w:type="pct"/>
          </w:tcPr>
          <w:p w14:paraId="7C9C5CA2" w14:textId="77777777" w:rsidR="00F703E0" w:rsidRPr="00DA5119" w:rsidRDefault="00F703E0"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General equilibrium</w:t>
            </w:r>
          </w:p>
        </w:tc>
        <w:tc>
          <w:tcPr>
            <w:tcW w:w="1177" w:type="pct"/>
          </w:tcPr>
          <w:p w14:paraId="159A9EC0" w14:textId="77777777" w:rsidR="00F703E0" w:rsidRPr="00DA5119" w:rsidRDefault="00F703E0"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Intertemporal optimization</w:t>
            </w:r>
          </w:p>
        </w:tc>
        <w:tc>
          <w:tcPr>
            <w:tcW w:w="563" w:type="pct"/>
          </w:tcPr>
          <w:p w14:paraId="5E303391" w14:textId="1E31300F" w:rsidR="00F703E0" w:rsidRPr="00DA5119" w:rsidRDefault="00F703E0"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2150</w:t>
            </w:r>
          </w:p>
        </w:tc>
        <w:tc>
          <w:tcPr>
            <w:tcW w:w="562" w:type="pct"/>
          </w:tcPr>
          <w:p w14:paraId="67C8F4CE" w14:textId="7DAFD94C" w:rsidR="00F703E0" w:rsidRPr="00DA5119" w:rsidRDefault="00F703E0"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All</w:t>
            </w:r>
          </w:p>
        </w:tc>
      </w:tr>
    </w:tbl>
    <w:p w14:paraId="5CD6C3EC" w14:textId="77777777" w:rsidR="008F3A22" w:rsidRPr="00DA5119" w:rsidRDefault="008F3A22" w:rsidP="00DA5119">
      <w:pPr>
        <w:pStyle w:val="NoSpacing"/>
        <w:ind w:left="-90"/>
      </w:pPr>
      <w:r w:rsidRPr="00DA5119">
        <w:rPr>
          <w:sz w:val="20"/>
          <w:szCs w:val="20"/>
        </w:rPr>
        <w:t>* See numbering from scenario table</w:t>
      </w:r>
      <w:r w:rsidRPr="00DA5119">
        <w:t xml:space="preserve"> </w:t>
      </w:r>
    </w:p>
    <w:p w14:paraId="36272221" w14:textId="77777777" w:rsidR="008F3A22" w:rsidRPr="00DA5119" w:rsidRDefault="008F3A22" w:rsidP="00DA5119">
      <w:pPr>
        <w:pStyle w:val="NoSpacing"/>
        <w:ind w:left="-90"/>
      </w:pPr>
      <w:r w:rsidRPr="00DA5119">
        <w:t xml:space="preserve">** </w:t>
      </w:r>
      <w:r w:rsidRPr="00DA5119">
        <w:rPr>
          <w:sz w:val="20"/>
          <w:szCs w:val="20"/>
        </w:rPr>
        <w:t>In MESSAGE, the HFC reduction potential in scenario 5 is limited. MESSAGE takes into account mitigation options such as refrigerant recovery, but does not include substitution by non-GHG gases.</w:t>
      </w:r>
      <w:r w:rsidRPr="00DA5119">
        <w:t xml:space="preserve"> </w:t>
      </w:r>
    </w:p>
    <w:p w14:paraId="16552D53" w14:textId="77777777" w:rsidR="008F3A22" w:rsidRPr="00DA5119" w:rsidRDefault="008F3A22" w:rsidP="00DA5119">
      <w:pPr>
        <w:pStyle w:val="NoSpacing"/>
        <w:ind w:left="-90"/>
        <w:rPr>
          <w:sz w:val="20"/>
          <w:szCs w:val="20"/>
        </w:rPr>
      </w:pPr>
      <w:r w:rsidRPr="00DA5119">
        <w:t xml:space="preserve">*** </w:t>
      </w:r>
      <w:r w:rsidRPr="00DA5119">
        <w:rPr>
          <w:sz w:val="20"/>
          <w:szCs w:val="20"/>
        </w:rPr>
        <w:t>REMIND and AIM have no endogenous representation of strong HFC reduction policies, and have therefore made use of IMAGE projections for HFCs in the 2-degree case.</w:t>
      </w:r>
    </w:p>
    <w:p w14:paraId="0E5213C0" w14:textId="77777777" w:rsidR="008036FA" w:rsidRPr="00DA5119" w:rsidRDefault="008036FA" w:rsidP="00DA5119">
      <w:pPr>
        <w:ind w:left="-90"/>
        <w:rPr>
          <w:lang w:val="en-US"/>
        </w:rPr>
      </w:pPr>
      <w:r w:rsidRPr="00DA5119">
        <w:rPr>
          <w:lang w:val="en-US"/>
        </w:rPr>
        <w:br w:type="page"/>
      </w:r>
    </w:p>
    <w:p w14:paraId="63F269A7" w14:textId="3169FB92" w:rsidR="008036FA" w:rsidRPr="00DA5119" w:rsidRDefault="008036FA" w:rsidP="00DA5119">
      <w:pPr>
        <w:pStyle w:val="Heading4"/>
        <w:ind w:left="-90"/>
        <w:rPr>
          <w:rFonts w:asciiTheme="minorHAnsi" w:hAnsiTheme="minorHAnsi"/>
        </w:rPr>
      </w:pPr>
      <w:r w:rsidRPr="00DA5119">
        <w:rPr>
          <w:rFonts w:asciiTheme="minorHAnsi" w:hAnsiTheme="minorHAnsi"/>
        </w:rPr>
        <w:lastRenderedPageBreak/>
        <w:t>S1.1 Model Descriptions</w:t>
      </w:r>
    </w:p>
    <w:p w14:paraId="118FD738" w14:textId="0C38D37D" w:rsidR="008036FA" w:rsidRPr="00DA5119" w:rsidRDefault="00442DBA" w:rsidP="00DA5119">
      <w:pPr>
        <w:pStyle w:val="Body"/>
        <w:ind w:left="-90"/>
        <w:rPr>
          <w:rFonts w:asciiTheme="minorHAnsi" w:hAnsiTheme="minorHAnsi"/>
        </w:rPr>
      </w:pPr>
      <w:r w:rsidRPr="00DA5119">
        <w:rPr>
          <w:rFonts w:asciiTheme="minorHAnsi" w:hAnsiTheme="minorHAnsi"/>
          <w:sz w:val="20"/>
          <w:lang w:val="en-GB"/>
        </w:rPr>
        <w:t>Descriptions below are copied from the E</w:t>
      </w:r>
      <w:r w:rsidR="008036FA" w:rsidRPr="00DA5119">
        <w:rPr>
          <w:rFonts w:asciiTheme="minorHAnsi" w:hAnsiTheme="minorHAnsi"/>
          <w:sz w:val="20"/>
        </w:rPr>
        <w:t>MF30 overview paper, (Klimont &amp; Smith et al. 2018, forthcoming)</w:t>
      </w:r>
      <w:r w:rsidRPr="00DA5119">
        <w:rPr>
          <w:rFonts w:asciiTheme="minorHAnsi" w:hAnsiTheme="minorHAnsi"/>
          <w:sz w:val="20"/>
        </w:rPr>
        <w:t>.</w:t>
      </w:r>
      <w:r w:rsidR="008036FA" w:rsidRPr="00DA5119">
        <w:rPr>
          <w:rFonts w:asciiTheme="minorHAnsi" w:hAnsiTheme="minorHAnsi"/>
          <w:sz w:val="20"/>
        </w:rPr>
        <w:t xml:space="preserve"> </w:t>
      </w:r>
    </w:p>
    <w:p w14:paraId="63539BCA" w14:textId="77777777" w:rsidR="008036FA" w:rsidRPr="00DA5119" w:rsidRDefault="008036FA" w:rsidP="00DA5119">
      <w:pPr>
        <w:pStyle w:val="Body"/>
        <w:ind w:left="-90"/>
        <w:rPr>
          <w:rFonts w:asciiTheme="minorHAnsi" w:hAnsiTheme="minorHAnsi"/>
        </w:rPr>
      </w:pPr>
    </w:p>
    <w:tbl>
      <w:tblPr>
        <w:tblStyle w:val="TableGrid"/>
        <w:tblW w:w="0" w:type="auto"/>
        <w:tblLook w:val="04A0" w:firstRow="1" w:lastRow="0" w:firstColumn="1" w:lastColumn="0" w:noHBand="0" w:noVBand="1"/>
      </w:tblPr>
      <w:tblGrid>
        <w:gridCol w:w="1611"/>
        <w:gridCol w:w="6745"/>
      </w:tblGrid>
      <w:tr w:rsidR="008036FA" w:rsidRPr="00DA5119" w14:paraId="2C3E0803" w14:textId="77777777" w:rsidTr="00C26D29">
        <w:tc>
          <w:tcPr>
            <w:tcW w:w="1611" w:type="dxa"/>
            <w:shd w:val="clear" w:color="auto" w:fill="E6E6E6"/>
          </w:tcPr>
          <w:p w14:paraId="564041FD" w14:textId="77777777" w:rsidR="008036FA" w:rsidRPr="00DA5119" w:rsidRDefault="008036FA" w:rsidP="00DA5119">
            <w:pPr>
              <w:pStyle w:val="Body"/>
              <w:ind w:left="-90"/>
              <w:rPr>
                <w:rFonts w:asciiTheme="minorHAnsi" w:hAnsiTheme="minorHAnsi"/>
              </w:rPr>
            </w:pPr>
            <w:r w:rsidRPr="00DA5119">
              <w:rPr>
                <w:rFonts w:asciiTheme="minorHAnsi" w:hAnsiTheme="minorHAnsi"/>
              </w:rPr>
              <w:t>Model Name</w:t>
            </w:r>
          </w:p>
        </w:tc>
        <w:tc>
          <w:tcPr>
            <w:tcW w:w="6745" w:type="dxa"/>
            <w:shd w:val="clear" w:color="auto" w:fill="E6E6E6"/>
          </w:tcPr>
          <w:p w14:paraId="7A305BC8" w14:textId="77777777" w:rsidR="008036FA" w:rsidRPr="00DA5119" w:rsidRDefault="008036FA" w:rsidP="00DA5119">
            <w:pPr>
              <w:pStyle w:val="Body"/>
              <w:ind w:left="-90"/>
              <w:rPr>
                <w:rFonts w:asciiTheme="minorHAnsi" w:hAnsiTheme="minorHAnsi"/>
              </w:rPr>
            </w:pPr>
            <w:r w:rsidRPr="00DA5119">
              <w:rPr>
                <w:rFonts w:asciiTheme="minorHAnsi" w:hAnsiTheme="minorHAnsi"/>
              </w:rPr>
              <w:t>Description</w:t>
            </w:r>
          </w:p>
        </w:tc>
      </w:tr>
      <w:tr w:rsidR="008036FA" w:rsidRPr="00DA5119" w14:paraId="68BA4D31" w14:textId="77777777" w:rsidTr="00C26D29">
        <w:tc>
          <w:tcPr>
            <w:tcW w:w="1611" w:type="dxa"/>
          </w:tcPr>
          <w:p w14:paraId="62C61468"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AIM/CGE</w:t>
            </w:r>
            <w:r w:rsidRPr="00DA5119">
              <w:rPr>
                <w:rFonts w:asciiTheme="minorHAnsi" w:hAnsiTheme="minorHAnsi"/>
                <w:sz w:val="22"/>
                <w:szCs w:val="22"/>
                <w:lang w:eastAsia="ja-JP"/>
              </w:rPr>
              <w:t xml:space="preserve"> </w:t>
            </w:r>
          </w:p>
        </w:tc>
        <w:tc>
          <w:tcPr>
            <w:tcW w:w="6745" w:type="dxa"/>
          </w:tcPr>
          <w:p w14:paraId="6409D842"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Dynamic-recursive, general-equilibrium, integrated energy and land-use, explicit transportation services, MAGICC6 climate model (Fujimori et al. 2017)</w:t>
            </w:r>
          </w:p>
        </w:tc>
      </w:tr>
      <w:tr w:rsidR="008036FA" w:rsidRPr="00DA5119" w14:paraId="08204FF3" w14:textId="77777777" w:rsidTr="00C26D29">
        <w:tc>
          <w:tcPr>
            <w:tcW w:w="1611" w:type="dxa"/>
          </w:tcPr>
          <w:p w14:paraId="4E303C3F"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lang w:eastAsia="ja-JP"/>
              </w:rPr>
              <w:t>DNE21+</w:t>
            </w:r>
          </w:p>
        </w:tc>
        <w:tc>
          <w:tcPr>
            <w:tcW w:w="6745" w:type="dxa"/>
          </w:tcPr>
          <w:p w14:paraId="2B8428DC"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lang w:eastAsia="ja-JP"/>
              </w:rPr>
              <w:t>Inter-temporal optimization, partial-equilibrium, integrated energy and land-use, explicit industry, transportation and building services, MAGICC6 climate model (Akimoto et al. 2010, Sano et al. 2015, Hayashi et al. 2015)</w:t>
            </w:r>
          </w:p>
        </w:tc>
      </w:tr>
      <w:tr w:rsidR="008036FA" w:rsidRPr="00DA5119" w14:paraId="349B49D9" w14:textId="77777777" w:rsidTr="00C26D29">
        <w:tc>
          <w:tcPr>
            <w:tcW w:w="1611" w:type="dxa"/>
          </w:tcPr>
          <w:p w14:paraId="5AA7D074"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ENV-Linkages</w:t>
            </w:r>
          </w:p>
        </w:tc>
        <w:tc>
          <w:tcPr>
            <w:tcW w:w="6745" w:type="dxa"/>
          </w:tcPr>
          <w:p w14:paraId="72F4CE4D"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Global dynamic computable general equilibrium (CGE), multi-sectoral, multi-regional model that links economic activities to energy and environmental issues (Chateau et al. 2014)</w:t>
            </w:r>
          </w:p>
        </w:tc>
      </w:tr>
      <w:tr w:rsidR="008036FA" w:rsidRPr="00DA5119" w14:paraId="38E151F2" w14:textId="77777777" w:rsidTr="00C26D29">
        <w:tc>
          <w:tcPr>
            <w:tcW w:w="1611" w:type="dxa"/>
          </w:tcPr>
          <w:p w14:paraId="446CD6A2"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IMAGE</w:t>
            </w:r>
          </w:p>
        </w:tc>
        <w:tc>
          <w:tcPr>
            <w:tcW w:w="6745" w:type="dxa"/>
          </w:tcPr>
          <w:p w14:paraId="1E72E5A9" w14:textId="21328870"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 xml:space="preserve">Dynamic-recursive, partial-equilibrium, soft linked energy and land-use, high coverage of low carbon energy technologies, endogenous land use dynamics, MAGICC6.3 climate model </w:t>
            </w:r>
            <w:r w:rsidRPr="00DA5119">
              <w:rPr>
                <w:rFonts w:asciiTheme="minorHAnsi" w:hAnsiTheme="minorHAnsi"/>
                <w:sz w:val="22"/>
                <w:szCs w:val="22"/>
              </w:rPr>
              <w:fldChar w:fldCharType="begin"/>
            </w:r>
            <w:r w:rsidR="00C26D29" w:rsidRPr="00DA5119">
              <w:rPr>
                <w:rFonts w:asciiTheme="minorHAnsi" w:hAnsiTheme="minorHAnsi"/>
                <w:sz w:val="22"/>
                <w:szCs w:val="22"/>
              </w:rPr>
              <w:instrText xml:space="preserve"> ADDIN EN.CITE &lt;EndNote&gt;&lt;Cite&gt;&lt;Author&gt;Stehfest&lt;/Author&gt;&lt;Year&gt;2014&lt;/Year&gt;&lt;RecNum&gt;274&lt;/RecNum&gt;&lt;DisplayText&gt;(Stehfest et al., 2014)&lt;/DisplayText&gt;&lt;record&gt;&lt;rec-number&gt;274&lt;/rec-number&gt;&lt;foreign-keys&gt;&lt;key app="EN" db-id="ewxvdw52e55r2gefrsovdxwk0xrz0v2zfp2s" timestamp="1449496398"&gt;274&lt;/key&gt;&lt;/foreign-keys&gt;&lt;ref-type name="Journal Article"&gt;17&lt;/ref-type&gt;&lt;contributors&gt;&lt;authors&gt;&lt;author&gt;Stehfest, E.&lt;/author&gt;&lt;author&gt;van Vuuren, D.P. &lt;/author&gt;&lt;author&gt;Kram, T.&lt;/author&gt;&lt;author&gt;Bouwman , A.F.&lt;/author&gt;&lt;author&gt;(eds.)&lt;/author&gt;&lt;/authors&gt;&lt;/contributors&gt;&lt;titles&gt;&lt;title&gt;&lt;style face="italic" font="default" size="100%"&gt;Integrated Assessment of Global Environmental Change with IMAGE 3.0. Model description and policy applications&lt;/style&gt;&lt;/title&gt;&lt;secondary-title&gt;The Hague: PBL Netherlands Environmental Assessment Agency&lt;/secondary-title&gt;&lt;/titles&gt;&lt;periodical&gt;&lt;full-title&gt;The Hague: PBL Netherlands Environmental Assessment Agency&lt;/full-title&gt;&lt;/periodical&gt;&lt;dates&gt;&lt;year&gt;2014&lt;/year&gt;&lt;/dates&gt;&lt;urls&gt;&lt;/urls&gt;&lt;/record&gt;&lt;/Cite&gt;&lt;/EndNote&gt;</w:instrText>
            </w:r>
            <w:r w:rsidRPr="00DA5119">
              <w:rPr>
                <w:rFonts w:asciiTheme="minorHAnsi" w:hAnsiTheme="minorHAnsi"/>
                <w:sz w:val="22"/>
                <w:szCs w:val="22"/>
              </w:rPr>
              <w:fldChar w:fldCharType="separate"/>
            </w:r>
            <w:r w:rsidR="00C26D29" w:rsidRPr="00DA5119">
              <w:rPr>
                <w:rFonts w:asciiTheme="minorHAnsi" w:hAnsiTheme="minorHAnsi"/>
                <w:noProof/>
                <w:sz w:val="22"/>
                <w:szCs w:val="22"/>
              </w:rPr>
              <w:t>(</w:t>
            </w:r>
            <w:hyperlink w:anchor="_ENREF_38" w:tooltip="Stehfest, 2014 #274" w:history="1">
              <w:r w:rsidR="00884561" w:rsidRPr="00DA5119">
                <w:rPr>
                  <w:rFonts w:asciiTheme="minorHAnsi" w:hAnsiTheme="minorHAnsi"/>
                  <w:noProof/>
                  <w:sz w:val="22"/>
                  <w:szCs w:val="22"/>
                </w:rPr>
                <w:t>Stehfest et al., 2014</w:t>
              </w:r>
            </w:hyperlink>
            <w:r w:rsidR="00C26D29" w:rsidRPr="00DA5119">
              <w:rPr>
                <w:rFonts w:asciiTheme="minorHAnsi" w:hAnsiTheme="minorHAnsi"/>
                <w:noProof/>
                <w:sz w:val="22"/>
                <w:szCs w:val="22"/>
              </w:rPr>
              <w:t>)</w:t>
            </w:r>
            <w:r w:rsidRPr="00DA5119">
              <w:rPr>
                <w:rFonts w:asciiTheme="minorHAnsi" w:hAnsiTheme="minorHAnsi"/>
                <w:sz w:val="22"/>
                <w:szCs w:val="22"/>
              </w:rPr>
              <w:fldChar w:fldCharType="end"/>
            </w:r>
          </w:p>
        </w:tc>
      </w:tr>
      <w:tr w:rsidR="008036FA" w:rsidRPr="00DA5119" w14:paraId="62C39184" w14:textId="77777777" w:rsidTr="00C26D29">
        <w:tc>
          <w:tcPr>
            <w:tcW w:w="1611" w:type="dxa"/>
          </w:tcPr>
          <w:p w14:paraId="37118AAE"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MESSAGE-GLOBIOM</w:t>
            </w:r>
          </w:p>
        </w:tc>
        <w:tc>
          <w:tcPr>
            <w:tcW w:w="6745" w:type="dxa"/>
          </w:tcPr>
          <w:p w14:paraId="3701FFEA"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Intertemporal optimization, systems engineering partial equilibrium models linked to aggregated GE, integrated energy and land-use, MAGICC6 (Krey et al. 2016, Fricko et al. 2017).</w:t>
            </w:r>
          </w:p>
        </w:tc>
      </w:tr>
      <w:tr w:rsidR="008036FA" w:rsidRPr="00DA5119" w14:paraId="4246E2C6" w14:textId="77777777" w:rsidTr="00C26D29">
        <w:tc>
          <w:tcPr>
            <w:tcW w:w="1611" w:type="dxa"/>
          </w:tcPr>
          <w:p w14:paraId="03B2692C"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POLES</w:t>
            </w:r>
          </w:p>
        </w:tc>
        <w:tc>
          <w:tcPr>
            <w:tcW w:w="6745" w:type="dxa"/>
          </w:tcPr>
          <w:p w14:paraId="6E7965E5"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Global energy-economy partial equilibrium simulation model, upstream production to final user demand and greenhouse gas emissions (Criqui et al, 2015, Keramidas et al. 2017)</w:t>
            </w:r>
          </w:p>
        </w:tc>
      </w:tr>
      <w:tr w:rsidR="008036FA" w:rsidRPr="00DA5119" w14:paraId="4F2863E5" w14:textId="77777777" w:rsidTr="00C26D29">
        <w:tc>
          <w:tcPr>
            <w:tcW w:w="1611" w:type="dxa"/>
          </w:tcPr>
          <w:p w14:paraId="3476A504"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REMIND</w:t>
            </w:r>
          </w:p>
        </w:tc>
        <w:tc>
          <w:tcPr>
            <w:tcW w:w="6745" w:type="dxa"/>
          </w:tcPr>
          <w:p w14:paraId="46A5512F"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Integrated energy-economy-climate model with perfect foresight, detailed energy system representation including buildings, industry, transport sectors, land-use based on MAgPIE model, MAGICC6 climate model.</w:t>
            </w:r>
          </w:p>
        </w:tc>
      </w:tr>
      <w:tr w:rsidR="008036FA" w:rsidRPr="00DA5119" w14:paraId="755ED5D5" w14:textId="77777777" w:rsidTr="00C26D29">
        <w:tc>
          <w:tcPr>
            <w:tcW w:w="1611" w:type="dxa"/>
          </w:tcPr>
          <w:p w14:paraId="5B8D30A4"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WITCH</w:t>
            </w:r>
          </w:p>
        </w:tc>
        <w:tc>
          <w:tcPr>
            <w:tcW w:w="6745" w:type="dxa"/>
          </w:tcPr>
          <w:p w14:paraId="528FE55C" w14:textId="77777777" w:rsidR="008036FA" w:rsidRPr="00DA5119" w:rsidRDefault="008036FA" w:rsidP="00DA5119">
            <w:pPr>
              <w:pStyle w:val="Body"/>
              <w:spacing w:before="60" w:after="60" w:line="240" w:lineRule="exact"/>
              <w:ind w:left="-90"/>
              <w:rPr>
                <w:rFonts w:asciiTheme="minorHAnsi" w:hAnsiTheme="minorHAnsi"/>
                <w:sz w:val="22"/>
                <w:szCs w:val="22"/>
              </w:rPr>
            </w:pPr>
            <w:r w:rsidRPr="00DA5119">
              <w:rPr>
                <w:rFonts w:asciiTheme="minorHAnsi" w:hAnsiTheme="minorHAnsi"/>
                <w:sz w:val="22"/>
                <w:szCs w:val="22"/>
              </w:rPr>
              <w:t>Optimal growth model, perfect-foresight, endogenous technical change, detailed energy system and coupled land-use (Bosetti et al. 2007, Emmerling et al. 2016)</w:t>
            </w:r>
          </w:p>
        </w:tc>
      </w:tr>
    </w:tbl>
    <w:p w14:paraId="523E3D4C" w14:textId="77777777" w:rsidR="008036FA" w:rsidRPr="00DA5119" w:rsidRDefault="008036FA" w:rsidP="00DA5119">
      <w:pPr>
        <w:pStyle w:val="Body"/>
        <w:ind w:left="-90"/>
        <w:rPr>
          <w:rFonts w:asciiTheme="minorHAnsi" w:hAnsiTheme="minorHAnsi"/>
        </w:rPr>
      </w:pPr>
    </w:p>
    <w:p w14:paraId="38C25C42" w14:textId="77777777" w:rsidR="008036FA" w:rsidRPr="00DA5119" w:rsidRDefault="008036FA" w:rsidP="00DA5119">
      <w:pPr>
        <w:ind w:left="-90"/>
        <w:rPr>
          <w:b/>
          <w:color w:val="0000FF"/>
        </w:rPr>
        <w:sectPr w:rsidR="008036FA" w:rsidRPr="00DA5119" w:rsidSect="00DA5119">
          <w:footerReference w:type="even" r:id="rId8"/>
          <w:footerReference w:type="default" r:id="rId9"/>
          <w:pgSz w:w="12240" w:h="15840"/>
          <w:pgMar w:top="1440" w:right="1800" w:bottom="1440" w:left="1530" w:header="720" w:footer="720" w:gutter="0"/>
          <w:pgNumType w:start="1"/>
          <w:cols w:space="720"/>
          <w:titlePg/>
          <w:docGrid w:linePitch="360"/>
        </w:sectPr>
      </w:pPr>
    </w:p>
    <w:p w14:paraId="66417845" w14:textId="5BE3A328" w:rsidR="008036FA" w:rsidRPr="00DA5119" w:rsidRDefault="008036FA" w:rsidP="00DA5119">
      <w:pPr>
        <w:pStyle w:val="Heading5"/>
        <w:ind w:left="-90"/>
        <w:rPr>
          <w:rFonts w:asciiTheme="minorHAnsi" w:hAnsiTheme="minorHAnsi"/>
        </w:rPr>
      </w:pPr>
      <w:r w:rsidRPr="00DA5119">
        <w:rPr>
          <w:rFonts w:asciiTheme="minorHAnsi" w:hAnsiTheme="minorHAnsi"/>
        </w:rPr>
        <w:lastRenderedPageBreak/>
        <w:t>AIM/CGE</w:t>
      </w:r>
    </w:p>
    <w:p w14:paraId="78AFCD66" w14:textId="0C8AE478" w:rsidR="008036FA" w:rsidRPr="00DA5119" w:rsidRDefault="008036FA" w:rsidP="00DA5119">
      <w:pPr>
        <w:pStyle w:val="Body"/>
        <w:ind w:left="-90"/>
        <w:rPr>
          <w:rFonts w:asciiTheme="minorHAnsi" w:hAnsiTheme="minorHAnsi"/>
        </w:rPr>
      </w:pPr>
      <w:r w:rsidRPr="00DA5119">
        <w:rPr>
          <w:rFonts w:asciiTheme="minorHAnsi" w:hAnsiTheme="minorHAnsi"/>
          <w:b/>
        </w:rPr>
        <w:t>AIM/CGE</w:t>
      </w:r>
      <w:r w:rsidRPr="00DA5119">
        <w:rPr>
          <w:rStyle w:val="Hyperlink"/>
          <w:rFonts w:asciiTheme="minorHAnsi" w:hAnsiTheme="minorHAnsi"/>
          <w:b/>
        </w:rPr>
        <w:fldChar w:fldCharType="begin"/>
      </w:r>
      <w:r w:rsidR="00C26D29" w:rsidRPr="00DA5119">
        <w:rPr>
          <w:rStyle w:val="Hyperlink"/>
          <w:rFonts w:asciiTheme="minorHAnsi" w:hAnsiTheme="minorHAnsi"/>
          <w:b/>
        </w:rPr>
        <w:instrText xml:space="preserve"> ADDIN EN.CITE &lt;EndNote&gt;&lt;Cite&gt;&lt;Author&gt;Fujimori&lt;/Author&gt;&lt;Year&gt;2017&lt;/Year&gt;&lt;RecNum&gt;3986&lt;/RecNum&gt;&lt;DisplayText&gt;(Fujimori et al., 2017)&lt;/DisplayText&gt;&lt;record&gt;&lt;rec-number&gt;3986&lt;/rec-number&gt;&lt;foreign-keys&gt;&lt;key app="EN" db-id="zfs0a5s9jrwzpbeawvapfrer9pdaa2ew5r9r"&gt;3986&lt;/key&gt;&lt;/foreign-keys&gt;&lt;ref-type name="Journal Article"&gt;17&lt;/ref-type&gt;&lt;contributors&gt;&lt;authors&gt;&lt;author&gt;Fujimori, Shinichiro&lt;/author&gt;&lt;author&gt;Hasegawa, Tomoko&lt;/author&gt;&lt;author&gt;Masui, Toshihiko&lt;/author&gt;&lt;author&gt;Takahashi, Kiyoshi&lt;/author&gt;&lt;author&gt;Herran, Diego Silva&lt;/author&gt;&lt;author&gt;Dai, Hancheng&lt;/author&gt;&lt;author&gt;Hijioka, Yasuaki&lt;/author&gt;&lt;author&gt;Kainuma, Mikiko&lt;/author&gt;&lt;/authors&gt;&lt;/contributors&gt;&lt;titles&gt;&lt;title&gt;SSP3: AIM implementation of Shared Socioeconomic Pathways&lt;/title&gt;&lt;secondary-title&gt;Global Environmental Change&lt;/secondary-title&gt;&lt;/titles&gt;&lt;periodical&gt;&lt;full-title&gt;Global Environmental Change&lt;/full-title&gt;&lt;/periodical&gt;&lt;pages&gt;268-283&lt;/pages&gt;&lt;volume&gt;42&lt;/volume&gt;&lt;keywords&gt;&lt;keyword&gt;SSPs&lt;/keyword&gt;&lt;keyword&gt;Socioeconomic scenarios&lt;/keyword&gt;&lt;keyword&gt;AIM&lt;/keyword&gt;&lt;keyword&gt;Computable general equilibrium model&lt;/keyword&gt;&lt;keyword&gt;Integrated assessment model&lt;/keyword&gt;&lt;keyword&gt;Climate mitigation&lt;/keyword&gt;&lt;/keywords&gt;&lt;dates&gt;&lt;year&gt;2017&lt;/year&gt;&lt;pub-dates&gt;&lt;date&gt;1//&lt;/date&gt;&lt;/pub-dates&gt;&lt;/dates&gt;&lt;isbn&gt;0959-3780&lt;/isbn&gt;&lt;urls&gt;&lt;related-urls&gt;&lt;url&gt;//www.sciencedirect.com/science/article/pii/S0959378016300838&lt;/url&gt;&lt;/related-urls&gt;&lt;/urls&gt;&lt;electronic-resource-num&gt;http://dx.doi.org/10.1016/j.gloenvcha.2016.06.009&lt;/electronic-resource-num&gt;&lt;/record&gt;&lt;/Cite&gt;&lt;/EndNote&gt;</w:instrText>
      </w:r>
      <w:r w:rsidRPr="00DA5119">
        <w:rPr>
          <w:rStyle w:val="Hyperlink"/>
          <w:rFonts w:asciiTheme="minorHAnsi" w:hAnsiTheme="minorHAnsi"/>
          <w:b/>
        </w:rPr>
        <w:fldChar w:fldCharType="separate"/>
      </w:r>
      <w:r w:rsidR="00C26D29" w:rsidRPr="00DA5119">
        <w:rPr>
          <w:rStyle w:val="Hyperlink"/>
          <w:rFonts w:asciiTheme="minorHAnsi" w:hAnsiTheme="minorHAnsi"/>
          <w:b/>
          <w:noProof/>
        </w:rPr>
        <w:t>(</w:t>
      </w:r>
      <w:hyperlink w:anchor="_ENREF_14" w:tooltip="Fujimori, 2017 #3986" w:history="1">
        <w:r w:rsidR="00884561" w:rsidRPr="00DA5119">
          <w:rPr>
            <w:rStyle w:val="Hyperlink"/>
            <w:rFonts w:asciiTheme="minorHAnsi" w:hAnsiTheme="minorHAnsi"/>
            <w:b/>
            <w:noProof/>
          </w:rPr>
          <w:t>Fujimori et al., 2017</w:t>
        </w:r>
      </w:hyperlink>
      <w:r w:rsidR="00C26D29" w:rsidRPr="00DA5119">
        <w:rPr>
          <w:rStyle w:val="Hyperlink"/>
          <w:rFonts w:asciiTheme="minorHAnsi" w:hAnsiTheme="minorHAnsi"/>
          <w:b/>
          <w:noProof/>
        </w:rPr>
        <w:t>)</w:t>
      </w:r>
      <w:r w:rsidRPr="00DA5119">
        <w:rPr>
          <w:rStyle w:val="Hyperlink"/>
          <w:rFonts w:asciiTheme="minorHAnsi" w:hAnsiTheme="minorHAnsi"/>
        </w:rPr>
        <w:fldChar w:fldCharType="end"/>
      </w:r>
      <w:r w:rsidRPr="00DA5119">
        <w:rPr>
          <w:rFonts w:asciiTheme="minorHAnsi" w:hAnsiTheme="minorHAnsi"/>
        </w:rPr>
        <w:t xml:space="preserve"> is a one-year-step recursive-type dynamic general equilibrium model that covers all regions of the world. The AIM/CGE model includes 17 regions and 42 industrial classifications. For appropriate assessment of bioenergy and land use competition, agricultural sectors are also highly </w:t>
      </w:r>
      <w:r w:rsidRPr="00DA5119">
        <w:rPr>
          <w:rFonts w:asciiTheme="minorHAnsi" w:hAnsiTheme="minorHAnsi"/>
          <w:color w:val="000000" w:themeColor="text1"/>
        </w:rPr>
        <w:t>disaggregated</w:t>
      </w:r>
      <w:r w:rsidR="007759F4" w:rsidRPr="00DA5119">
        <w:rPr>
          <w:rFonts w:asciiTheme="minorHAnsi" w:hAnsiTheme="minorHAnsi"/>
          <w:color w:val="000000" w:themeColor="text1"/>
        </w:rPr>
        <w:t xml:space="preserve"> </w:t>
      </w:r>
      <w:r w:rsidRPr="00DA5119">
        <w:rPr>
          <w:rStyle w:val="Hyperlink"/>
          <w:rFonts w:asciiTheme="minorHAnsi" w:hAnsiTheme="minorHAnsi"/>
          <w:color w:val="000000" w:themeColor="text1"/>
        </w:rPr>
        <w:fldChar w:fldCharType="begin"/>
      </w:r>
      <w:r w:rsidR="00C26D29" w:rsidRPr="00DA5119">
        <w:rPr>
          <w:rStyle w:val="Hyperlink"/>
          <w:rFonts w:asciiTheme="minorHAnsi" w:hAnsiTheme="minorHAnsi"/>
          <w:color w:val="000000" w:themeColor="text1"/>
        </w:rPr>
        <w:instrText xml:space="preserve"> ADDIN EN.CITE &lt;EndNote&gt;&lt;Cite&gt;&lt;Author&gt;Fujimori&lt;/Author&gt;&lt;Year&gt;2014&lt;/Year&gt;&lt;RecNum&gt;3605&lt;/RecNum&gt;&lt;DisplayText&gt;(Fujimori et al., 2014a)&lt;/DisplayText&gt;&lt;record&gt;&lt;rec-number&gt;3605&lt;/rec-number&gt;&lt;foreign-keys&gt;&lt;key app="EN" db-id="92tv2v9p7d2t58eaxt5xwwzpdfsfrt5ts9r5" timestamp="1491511638"&gt;3605&lt;/key&gt;&lt;/foreign-keys&gt;&lt;ref-type name="Journal Article"&gt;17&lt;/ref-type&gt;&lt;contributors&gt;&lt;authors&gt;&lt;author&gt;Fujimori, Shinichiro&lt;/author&gt;&lt;author&gt;Hasegawa, Tomoko&lt;/author&gt;&lt;author&gt;Masui, Toshihiko&lt;/author&gt;&lt;author&gt;Takahashi, Kiyoshi&lt;/author&gt;&lt;/authors&gt;&lt;/contributors&gt;&lt;titles&gt;&lt;title&gt;Land use representation in a global CGE model for long-term simulation: CET vs. logit functions&lt;/title&gt;&lt;secondary-title&gt;Food Security&lt;/secondary-title&gt;&lt;alt-title&gt;Food Sec.&lt;/alt-title&gt;&lt;/titles&gt;&lt;periodical&gt;&lt;full-title&gt;Food Security&lt;/full-title&gt;&lt;/periodical&gt;&lt;alt-periodical&gt;&lt;full-title&gt;Food Sec.&lt;/full-title&gt;&lt;/alt-periodical&gt;&lt;pages&gt;685-699&lt;/pages&gt;&lt;volume&gt;6&lt;/volume&gt;&lt;number&gt;5&lt;/number&gt;&lt;keywords&gt;&lt;keyword&gt;Logit function&lt;/keyword&gt;&lt;keyword&gt;CET function&lt;/keyword&gt;&lt;keyword&gt;Computable general equilibrium model&lt;/keyword&gt;&lt;keyword&gt;Land use&lt;/keyword&gt;&lt;keyword&gt;Agricultural economic model&lt;/keyword&gt;&lt;/keywords&gt;&lt;dates&gt;&lt;year&gt;2014&lt;/year&gt;&lt;pub-dates&gt;&lt;date&gt;2014/10/01&lt;/date&gt;&lt;/pub-dates&gt;&lt;/dates&gt;&lt;publisher&gt;Springer Netherlands&lt;/publisher&gt;&lt;isbn&gt;1876-4517&lt;/isbn&gt;&lt;urls&gt;&lt;related-urls&gt;&lt;url&gt;http://dx.doi.org/10.1007/s12571-014-0375-z&lt;/url&gt;&lt;/related-urls&gt;&lt;/urls&gt;&lt;electronic-resource-num&gt;10.1007/s12571-014-0375-z&lt;/electronic-resource-num&gt;&lt;language&gt;English&lt;/language&gt;&lt;/record&gt;&lt;/Cite&gt;&lt;/EndNote&gt;</w:instrText>
      </w:r>
      <w:r w:rsidRPr="00DA5119">
        <w:rPr>
          <w:rStyle w:val="Hyperlink"/>
          <w:rFonts w:asciiTheme="minorHAnsi" w:hAnsiTheme="minorHAnsi"/>
          <w:color w:val="000000" w:themeColor="text1"/>
        </w:rPr>
        <w:fldChar w:fldCharType="separate"/>
      </w:r>
      <w:r w:rsidR="00C26D29" w:rsidRPr="00DA5119">
        <w:rPr>
          <w:rStyle w:val="Hyperlink"/>
          <w:rFonts w:asciiTheme="minorHAnsi" w:hAnsiTheme="minorHAnsi"/>
          <w:noProof/>
          <w:color w:val="000000" w:themeColor="text1"/>
        </w:rPr>
        <w:t>(</w:t>
      </w:r>
      <w:hyperlink w:anchor="_ENREF_12" w:tooltip="Fujimori, 2014 #3605" w:history="1">
        <w:r w:rsidR="00884561" w:rsidRPr="00DA5119">
          <w:rPr>
            <w:rStyle w:val="Hyperlink"/>
            <w:rFonts w:asciiTheme="minorHAnsi" w:hAnsiTheme="minorHAnsi"/>
            <w:noProof/>
            <w:color w:val="000000" w:themeColor="text1"/>
          </w:rPr>
          <w:t>Fujimori et al., 2014a</w:t>
        </w:r>
      </w:hyperlink>
      <w:r w:rsidR="00C26D29" w:rsidRPr="00DA5119">
        <w:rPr>
          <w:rStyle w:val="Hyperlink"/>
          <w:rFonts w:asciiTheme="minorHAnsi" w:hAnsiTheme="minorHAnsi"/>
          <w:noProof/>
          <w:color w:val="000000" w:themeColor="text1"/>
        </w:rPr>
        <w:t>)</w:t>
      </w:r>
      <w:r w:rsidRPr="00DA5119">
        <w:rPr>
          <w:rStyle w:val="Hyperlink"/>
          <w:rFonts w:asciiTheme="minorHAnsi" w:hAnsiTheme="minorHAnsi"/>
          <w:color w:val="000000" w:themeColor="text1"/>
        </w:rPr>
        <w:fldChar w:fldCharType="end"/>
      </w:r>
      <w:r w:rsidRPr="00DA5119">
        <w:rPr>
          <w:rFonts w:asciiTheme="minorHAnsi" w:hAnsiTheme="minorHAnsi"/>
          <w:color w:val="000000" w:themeColor="text1"/>
        </w:rPr>
        <w:t xml:space="preserve">. Details of the model structure and mathematical formulae are described by </w:t>
      </w:r>
      <w:hyperlink w:anchor="_ENREF_15" w:tooltip="Fujimori, 2012 #2482" w:history="1">
        <w:r w:rsidR="00884561" w:rsidRPr="00DA5119">
          <w:rPr>
            <w:rFonts w:asciiTheme="minorHAnsi" w:hAnsiTheme="minorHAnsi"/>
            <w:color w:val="000000" w:themeColor="text1"/>
          </w:rPr>
          <w:fldChar w:fldCharType="begin"/>
        </w:r>
        <w:r w:rsidR="00884561" w:rsidRPr="00DA5119">
          <w:rPr>
            <w:rFonts w:asciiTheme="minorHAnsi" w:hAnsiTheme="minorHAnsi"/>
            <w:color w:val="000000" w:themeColor="text1"/>
          </w:rPr>
          <w:instrText xml:space="preserve"> ADDIN EN.CITE &lt;EndNote&gt;&lt;Cite AuthorYear="1"&gt;&lt;Author&gt;Fujimori&lt;/Author&gt;&lt;Year&gt;2012&lt;/Year&gt;&lt;RecNum&gt;2482&lt;/RecNum&gt;&lt;DisplayText&gt;Fujimori et al. (2012)&lt;/DisplayText&gt;&lt;record&gt;&lt;rec-number&gt;2482&lt;/rec-number&gt;&lt;foreign-keys&gt;&lt;key app="EN" db-id="zfs0a5s9jrwzpbeawvapfrer9pdaa2ew5r9r"&gt;2482&lt;/key&gt;&lt;/foreign-keys&gt;&lt;ref-type name="Report"&gt;27&lt;/ref-type&gt;&lt;contributors&gt;&lt;authors&gt;&lt;author&gt;Fujimori, Shinichiro&lt;/author&gt;&lt;author&gt;Masui, Toshihiko&lt;/author&gt;&lt;author&gt;Matsuoka, Yuzuru&lt;/author&gt;&lt;/authors&gt;&lt;tertiary-authors&gt;&lt;author&gt;Center for Social and Environmental Systems Research, National Institute Environemntal Studies&lt;/author&gt;&lt;/tertiary-authors&gt;&lt;/contributors&gt;&lt;titles&gt;&lt;title&gt;AIM/CGE [basic] manual&lt;/title&gt;&lt;secondary-title&gt;Discussion paper series&lt;/secondary-title&gt;&lt;/titles&gt;&lt;pages&gt;1-87&lt;/pages&gt;&lt;dates&gt;&lt;year&gt;2012&lt;/year&gt;&lt;/dates&gt;&lt;publisher&gt;Center for Social and Environmental Systems Research, National Institute Environmental Studies&lt;/publisher&gt;&lt;isbn&gt;2012-01&lt;/isbn&gt;&lt;urls&gt;&lt;related-urls&gt;&lt;url&gt;http://www.nies.go.jp/social/dp/pdf/2012-01.pdf&lt;/url&gt;&lt;/related-urls&gt;&lt;/urls&gt;&lt;/record&gt;&lt;/Cite&gt;&lt;/EndNote&gt;</w:instrText>
        </w:r>
        <w:r w:rsidR="00884561" w:rsidRPr="00DA5119">
          <w:rPr>
            <w:rFonts w:asciiTheme="minorHAnsi" w:hAnsiTheme="minorHAnsi"/>
            <w:color w:val="000000" w:themeColor="text1"/>
          </w:rPr>
          <w:fldChar w:fldCharType="separate"/>
        </w:r>
        <w:r w:rsidR="00884561" w:rsidRPr="00DA5119">
          <w:rPr>
            <w:rFonts w:asciiTheme="minorHAnsi" w:hAnsiTheme="minorHAnsi"/>
            <w:noProof/>
            <w:color w:val="000000" w:themeColor="text1"/>
          </w:rPr>
          <w:t>Fujimori et al. (2012)</w:t>
        </w:r>
        <w:r w:rsidR="00884561" w:rsidRPr="00DA5119">
          <w:rPr>
            <w:rFonts w:asciiTheme="minorHAnsi" w:hAnsiTheme="minorHAnsi"/>
            <w:color w:val="000000" w:themeColor="text1"/>
          </w:rPr>
          <w:fldChar w:fldCharType="end"/>
        </w:r>
      </w:hyperlink>
      <w:r w:rsidRPr="00DA5119">
        <w:rPr>
          <w:rFonts w:asciiTheme="minorHAnsi" w:hAnsiTheme="minorHAnsi"/>
          <w:color w:val="000000" w:themeColor="text1"/>
        </w:rPr>
        <w:t xml:space="preserve">. The production sectors are assumed to maximize profits under multi-nested constant elasticity substitution (CES) functions and each input price. </w:t>
      </w:r>
      <w:bookmarkStart w:id="0" w:name="OLE_LINK15"/>
      <w:r w:rsidRPr="00DA5119">
        <w:rPr>
          <w:rFonts w:asciiTheme="minorHAnsi" w:hAnsiTheme="minorHAnsi"/>
          <w:color w:val="000000" w:themeColor="text1"/>
        </w:rPr>
        <w:t xml:space="preserve">Energy </w:t>
      </w:r>
      <w:r w:rsidRPr="00DA5119">
        <w:rPr>
          <w:rFonts w:asciiTheme="minorHAnsi" w:hAnsiTheme="minorHAnsi"/>
        </w:rPr>
        <w:t>transformation sectors input energy and value-added are fixed coefficients of output.</w:t>
      </w:r>
      <w:bookmarkEnd w:id="0"/>
      <w:r w:rsidRPr="00DA5119">
        <w:rPr>
          <w:rFonts w:asciiTheme="minorHAnsi" w:hAnsiTheme="minorHAnsi"/>
        </w:rPr>
        <w:t xml:space="preserve"> They are treated in this manner to deal with energy conversion efficiency appropriately in the energy transformation sectors. Power generation values from several energy sources are combined with a Logit function. This functional form was used to ensure energy balance because the CES function does not guarantee an energy balance. Household expenditures on each commodity are described by a linear expenditure system function. The parameters adopted in the linear expenditure system function are recursively updated by income elasticity assumptions</w:t>
      </w:r>
      <w:r w:rsidRPr="00DA5119">
        <w:rPr>
          <w:rStyle w:val="Hyperlink"/>
          <w:rFonts w:asciiTheme="minorHAnsi" w:hAnsiTheme="minorHAnsi"/>
        </w:rPr>
        <w:fldChar w:fldCharType="begin"/>
      </w:r>
      <w:r w:rsidR="00C26D29" w:rsidRPr="00DA5119">
        <w:rPr>
          <w:rStyle w:val="Hyperlink"/>
          <w:rFonts w:asciiTheme="minorHAnsi" w:hAnsiTheme="minorHAnsi"/>
        </w:rPr>
        <w:instrText xml:space="preserve"> ADDIN EN.CITE &lt;EndNote&gt;&lt;Cite&gt;&lt;Author&gt;Hasegawa&lt;/Author&gt;&lt;Year&gt;2015&lt;/Year&gt;&lt;RecNum&gt;3544&lt;/RecNum&gt;&lt;DisplayText&gt;(Hasegawa et al., 2015)&lt;/DisplayText&gt;&lt;record&gt;&lt;rec-number&gt;3544&lt;/rec-number&gt;&lt;foreign-keys&gt;&lt;key app="EN" db-id="zfs0a5s9jrwzpbeawvapfrer9pdaa2ew5r9r"&gt;3544&lt;/key&gt;&lt;/foreign-keys&gt;&lt;ref-type name="Journal Article"&gt;17&lt;/ref-type&gt;&lt;contributors&gt;&lt;authors&gt;&lt;author&gt;Hasegawa, Tomoko&lt;/author&gt;&lt;author&gt;Fujimori, Shinichiro&lt;/author&gt;&lt;author&gt;Takahashi, Kiyoshi&lt;/author&gt;&lt;author&gt;Masui, Toshihiko&lt;/author&gt;&lt;/authors&gt;&lt;/contributors&gt;&lt;titles&gt;&lt;title&gt;Scenarios for the risk of hunger in the twenty-first century using Shared Socioeconomic Pathways&lt;/title&gt;&lt;secondary-title&gt;Environmental Research Letters&lt;/secondary-title&gt;&lt;/titles&gt;&lt;periodical&gt;&lt;full-title&gt;Environmental Research Letters&lt;/full-title&gt;&lt;/periodical&gt;&lt;pages&gt;014010&lt;/pages&gt;&lt;volume&gt;10&lt;/volume&gt;&lt;number&gt;1&lt;/number&gt;&lt;dates&gt;&lt;year&gt;2015&lt;/year&gt;&lt;/dates&gt;&lt;isbn&gt;1748-9326&lt;/isbn&gt;&lt;urls&gt;&lt;related-urls&gt;&lt;url&gt;http://stacks.iop.org/1748-9326/10/i=1/a=014010&lt;/url&gt;&lt;/related-urls&gt;&lt;/urls&gt;&lt;/record&gt;&lt;/Cite&gt;&lt;/EndNote&gt;</w:instrText>
      </w:r>
      <w:r w:rsidRPr="00DA5119">
        <w:rPr>
          <w:rStyle w:val="Hyperlink"/>
          <w:rFonts w:asciiTheme="minorHAnsi" w:hAnsiTheme="minorHAnsi"/>
        </w:rPr>
        <w:fldChar w:fldCharType="separate"/>
      </w:r>
      <w:r w:rsidR="00C26D29" w:rsidRPr="00DA5119">
        <w:rPr>
          <w:rStyle w:val="Hyperlink"/>
          <w:rFonts w:asciiTheme="minorHAnsi" w:hAnsiTheme="minorHAnsi"/>
          <w:noProof/>
        </w:rPr>
        <w:t>(</w:t>
      </w:r>
      <w:hyperlink w:anchor="_ENREF_18" w:tooltip="Hasegawa, 2015 #3544" w:history="1">
        <w:r w:rsidR="00884561" w:rsidRPr="00DA5119">
          <w:rPr>
            <w:rStyle w:val="Hyperlink"/>
            <w:rFonts w:asciiTheme="minorHAnsi" w:hAnsiTheme="minorHAnsi"/>
            <w:noProof/>
          </w:rPr>
          <w:t>Hasegawa et al., 2015</w:t>
        </w:r>
      </w:hyperlink>
      <w:r w:rsidR="00C26D29" w:rsidRPr="00DA5119">
        <w:rPr>
          <w:rStyle w:val="Hyperlink"/>
          <w:rFonts w:asciiTheme="minorHAnsi" w:hAnsiTheme="minorHAnsi"/>
          <w:noProof/>
        </w:rPr>
        <w:t>)</w:t>
      </w:r>
      <w:r w:rsidRPr="00DA5119">
        <w:rPr>
          <w:rStyle w:val="Hyperlink"/>
          <w:rFonts w:asciiTheme="minorHAnsi" w:hAnsiTheme="minorHAnsi"/>
        </w:rPr>
        <w:fldChar w:fldCharType="end"/>
      </w:r>
      <w:r w:rsidRPr="00DA5119">
        <w:rPr>
          <w:rFonts w:asciiTheme="minorHAnsi" w:hAnsiTheme="minorHAnsi"/>
        </w:rPr>
        <w:t>. Land use is determined by Logit selection</w:t>
      </w:r>
      <w:r w:rsidRPr="00DA5119">
        <w:rPr>
          <w:rStyle w:val="Hyperlink"/>
          <w:rFonts w:asciiTheme="minorHAnsi" w:hAnsiTheme="minorHAnsi"/>
        </w:rPr>
        <w:fldChar w:fldCharType="begin"/>
      </w:r>
      <w:r w:rsidR="00C26D29" w:rsidRPr="00DA5119">
        <w:rPr>
          <w:rStyle w:val="Hyperlink"/>
          <w:rFonts w:asciiTheme="minorHAnsi" w:hAnsiTheme="minorHAnsi"/>
        </w:rPr>
        <w:instrText xml:space="preserve"> ADDIN EN.CITE &lt;EndNote&gt;&lt;Cite&gt;&lt;Author&gt;Fujimori&lt;/Author&gt;&lt;Year&gt;2014&lt;/Year&gt;&lt;RecNum&gt;3761&lt;/RecNum&gt;&lt;DisplayText&gt;(Fujimori et al., 2014b)&lt;/DisplayText&gt;&lt;record&gt;&lt;rec-number&gt;3761&lt;/rec-number&gt;&lt;foreign-keys&gt;&lt;key app="EN" db-id="zfs0a5s9jrwzpbeawvapfrer9pdaa2ew5r9r"&gt;3761&lt;/key&gt;&lt;/foreign-keys&gt;&lt;ref-type name="Journal Article"&gt;17&lt;/ref-type&gt;&lt;contributors&gt;&lt;authors&gt;&lt;author&gt;Fujimori, S.&lt;/author&gt;&lt;author&gt;Hasegawa, T.&lt;/author&gt;&lt;author&gt;Masui, T.&lt;/author&gt;&lt;author&gt;Takahashi, K.&lt;/author&gt;&lt;/authors&gt;&lt;/contributors&gt;&lt;titles&gt;&lt;title&gt;Land use representation in a global CGE model for long-term simulation: CET vs. logit functions&lt;/title&gt;&lt;secondary-title&gt;Food Secur&lt;/secondary-title&gt;&lt;/titles&gt;&lt;periodical&gt;&lt;full-title&gt;Food Secur&lt;/full-title&gt;&lt;/periodical&gt;&lt;volume&gt;6&lt;/volume&gt;&lt;dates&gt;&lt;year&gt;2014&lt;/year&gt;&lt;/dates&gt;&lt;label&gt;Fujimori2014&lt;/label&gt;&lt;urls&gt;&lt;related-urls&gt;&lt;url&gt;http://dx.doi.org/10.1007/s12571-014-0375-z&lt;/url&gt;&lt;/related-urls&gt;&lt;/urls&gt;&lt;electronic-resource-num&gt;10.1007/s12571-014-0375-z&lt;/electronic-resource-num&gt;&lt;/record&gt;&lt;/Cite&gt;&lt;/EndNote&gt;</w:instrText>
      </w:r>
      <w:r w:rsidRPr="00DA5119">
        <w:rPr>
          <w:rStyle w:val="Hyperlink"/>
          <w:rFonts w:asciiTheme="minorHAnsi" w:hAnsiTheme="minorHAnsi"/>
        </w:rPr>
        <w:fldChar w:fldCharType="separate"/>
      </w:r>
      <w:r w:rsidR="00C26D29" w:rsidRPr="00DA5119">
        <w:rPr>
          <w:rStyle w:val="Hyperlink"/>
          <w:rFonts w:asciiTheme="minorHAnsi" w:hAnsiTheme="minorHAnsi"/>
          <w:noProof/>
        </w:rPr>
        <w:t>(</w:t>
      </w:r>
      <w:hyperlink w:anchor="_ENREF_13" w:tooltip="Fujimori, 2014 #3761" w:history="1">
        <w:r w:rsidR="00884561" w:rsidRPr="00DA5119">
          <w:rPr>
            <w:rStyle w:val="Hyperlink"/>
            <w:rFonts w:asciiTheme="minorHAnsi" w:hAnsiTheme="minorHAnsi"/>
            <w:noProof/>
          </w:rPr>
          <w:t>Fujimori et al., 2014b</w:t>
        </w:r>
      </w:hyperlink>
      <w:r w:rsidR="00C26D29" w:rsidRPr="00DA5119">
        <w:rPr>
          <w:rStyle w:val="Hyperlink"/>
          <w:rFonts w:asciiTheme="minorHAnsi" w:hAnsiTheme="minorHAnsi"/>
          <w:noProof/>
        </w:rPr>
        <w:t>)</w:t>
      </w:r>
      <w:r w:rsidRPr="00DA5119">
        <w:rPr>
          <w:rStyle w:val="Hyperlink"/>
          <w:rFonts w:asciiTheme="minorHAnsi" w:hAnsiTheme="minorHAnsi"/>
        </w:rPr>
        <w:fldChar w:fldCharType="end"/>
      </w:r>
      <w:r w:rsidRPr="00DA5119">
        <w:rPr>
          <w:rFonts w:asciiTheme="minorHAnsi" w:hAnsiTheme="minorHAnsi"/>
        </w:rPr>
        <w:t>. In addition to energy-related CO</w:t>
      </w:r>
      <w:r w:rsidRPr="00DA5119">
        <w:rPr>
          <w:rFonts w:asciiTheme="minorHAnsi" w:hAnsiTheme="minorHAnsi"/>
          <w:vertAlign w:val="subscript"/>
        </w:rPr>
        <w:t>2</w:t>
      </w:r>
      <w:r w:rsidRPr="00DA5119">
        <w:rPr>
          <w:rFonts w:asciiTheme="minorHAnsi" w:hAnsiTheme="minorHAnsi"/>
        </w:rPr>
        <w:t>, CO</w:t>
      </w:r>
      <w:r w:rsidRPr="00DA5119">
        <w:rPr>
          <w:rFonts w:asciiTheme="minorHAnsi" w:hAnsiTheme="minorHAnsi"/>
          <w:vertAlign w:val="subscript"/>
        </w:rPr>
        <w:t xml:space="preserve">2 </w:t>
      </w:r>
      <w:r w:rsidRPr="00DA5119">
        <w:rPr>
          <w:rFonts w:asciiTheme="minorHAnsi" w:hAnsiTheme="minorHAnsi"/>
        </w:rPr>
        <w:t>from other sources, CH</w:t>
      </w:r>
      <w:r w:rsidRPr="00DA5119">
        <w:rPr>
          <w:rFonts w:asciiTheme="minorHAnsi" w:hAnsiTheme="minorHAnsi"/>
          <w:vertAlign w:val="subscript"/>
        </w:rPr>
        <w:t>4</w:t>
      </w:r>
      <w:r w:rsidRPr="00DA5119">
        <w:rPr>
          <w:rFonts w:asciiTheme="minorHAnsi" w:hAnsiTheme="minorHAnsi"/>
        </w:rPr>
        <w:t>, N</w:t>
      </w:r>
      <w:r w:rsidRPr="00DA5119">
        <w:rPr>
          <w:rFonts w:asciiTheme="minorHAnsi" w:hAnsiTheme="minorHAnsi"/>
          <w:vertAlign w:val="subscript"/>
        </w:rPr>
        <w:t>2</w:t>
      </w:r>
      <w:r w:rsidRPr="00DA5119">
        <w:rPr>
          <w:rFonts w:asciiTheme="minorHAnsi" w:hAnsiTheme="minorHAnsi"/>
        </w:rPr>
        <w:t>O, and fluorinated gases (F-gases) are treated as GHGs in the model. Energy-related emissions are associated with fossil fuel feedstock use. The non-energy-related CO</w:t>
      </w:r>
      <w:r w:rsidRPr="00DA5119">
        <w:rPr>
          <w:rFonts w:asciiTheme="minorHAnsi" w:hAnsiTheme="minorHAnsi"/>
          <w:vertAlign w:val="subscript"/>
        </w:rPr>
        <w:t>2</w:t>
      </w:r>
      <w:r w:rsidRPr="00DA5119">
        <w:rPr>
          <w:rFonts w:asciiTheme="minorHAnsi" w:hAnsiTheme="minorHAnsi"/>
        </w:rPr>
        <w:t xml:space="preserve"> emissions consist of land use change and industrial processes. Land use change emissions are derived from the forest area change relative to the previous year multiplied by the carbon stock density, which is differentiated by AEZs (Global Agro-Ecological Zones). Non-energy-related emissions other than land use change emissions are assumed to be in proportion to the level of each activity (such as output). CH</w:t>
      </w:r>
      <w:r w:rsidRPr="00DA5119">
        <w:rPr>
          <w:rFonts w:asciiTheme="minorHAnsi" w:hAnsiTheme="minorHAnsi"/>
          <w:vertAlign w:val="subscript"/>
        </w:rPr>
        <w:t>4</w:t>
      </w:r>
      <w:r w:rsidRPr="00DA5119">
        <w:rPr>
          <w:rFonts w:asciiTheme="minorHAnsi" w:hAnsiTheme="minorHAnsi"/>
        </w:rPr>
        <w:t xml:space="preserve"> has a range of sources, mainly the rice production, livestock, fossil fuel mining, and waste management sectors. N</w:t>
      </w:r>
      <w:r w:rsidRPr="00DA5119">
        <w:rPr>
          <w:rFonts w:asciiTheme="minorHAnsi" w:hAnsiTheme="minorHAnsi"/>
          <w:vertAlign w:val="subscript"/>
        </w:rPr>
        <w:t>2</w:t>
      </w:r>
      <w:r w:rsidRPr="00DA5119">
        <w:rPr>
          <w:rFonts w:asciiTheme="minorHAnsi" w:hAnsiTheme="minorHAnsi"/>
        </w:rPr>
        <w:t>O is emitted as a result of fertilizer application and livestock manure management and by the chemical industry. F-gases are emitted mainly from refrigerants used in air conditioners and cooling devices in the industry. Air pollutant gases (BC, CO, NH</w:t>
      </w:r>
      <w:r w:rsidRPr="00DA5119">
        <w:rPr>
          <w:rFonts w:asciiTheme="minorHAnsi" w:hAnsiTheme="minorHAnsi"/>
          <w:vertAlign w:val="subscript"/>
        </w:rPr>
        <w:t>3</w:t>
      </w:r>
      <w:r w:rsidRPr="00DA5119">
        <w:rPr>
          <w:rFonts w:asciiTheme="minorHAnsi" w:hAnsiTheme="minorHAnsi"/>
        </w:rPr>
        <w:t>, NMVOC, NO</w:t>
      </w:r>
      <w:r w:rsidRPr="00DA5119">
        <w:rPr>
          <w:rFonts w:asciiTheme="minorHAnsi" w:hAnsiTheme="minorHAnsi"/>
          <w:vertAlign w:val="subscript"/>
        </w:rPr>
        <w:t>X</w:t>
      </w:r>
      <w:r w:rsidRPr="00DA5119">
        <w:rPr>
          <w:rFonts w:asciiTheme="minorHAnsi" w:hAnsiTheme="minorHAnsi"/>
        </w:rPr>
        <w:t>, OC, SO</w:t>
      </w:r>
      <w:r w:rsidRPr="00DA5119">
        <w:rPr>
          <w:rFonts w:asciiTheme="minorHAnsi" w:hAnsiTheme="minorHAnsi"/>
          <w:vertAlign w:val="subscript"/>
        </w:rPr>
        <w:t>2</w:t>
      </w:r>
      <w:r w:rsidRPr="00DA5119">
        <w:rPr>
          <w:rFonts w:asciiTheme="minorHAnsi" w:hAnsiTheme="minorHAnsi"/>
        </w:rPr>
        <w:t>) are also associated with fuel combustion and activity levels. Emissions factors change over time with the implementation of air pollutant removal technologies and relevant legislation.</w:t>
      </w:r>
    </w:p>
    <w:p w14:paraId="0B67B632" w14:textId="77777777" w:rsidR="008036FA" w:rsidRPr="00DA5119" w:rsidRDefault="008036FA" w:rsidP="00DA5119">
      <w:pPr>
        <w:pStyle w:val="ReferenceHeader"/>
        <w:keepNext/>
        <w:ind w:left="-90"/>
        <w:rPr>
          <w:rFonts w:asciiTheme="minorHAnsi" w:hAnsiTheme="minorHAnsi"/>
        </w:rPr>
      </w:pPr>
      <w:r w:rsidRPr="00DA5119">
        <w:rPr>
          <w:rFonts w:asciiTheme="minorHAnsi" w:hAnsiTheme="minorHAnsi"/>
        </w:rPr>
        <w:t>References</w:t>
      </w:r>
    </w:p>
    <w:p w14:paraId="24C5649F" w14:textId="77777777" w:rsidR="008036FA" w:rsidRPr="00DA5119" w:rsidRDefault="008036FA" w:rsidP="00DA5119">
      <w:pPr>
        <w:pStyle w:val="References"/>
        <w:ind w:left="-90" w:hanging="270"/>
        <w:rPr>
          <w:rFonts w:asciiTheme="minorHAnsi" w:hAnsiTheme="minorHAnsi"/>
        </w:rPr>
      </w:pPr>
      <w:r w:rsidRPr="00DA5119">
        <w:rPr>
          <w:rFonts w:asciiTheme="minorHAnsi" w:hAnsiTheme="minorHAnsi"/>
        </w:rPr>
        <w:t>1.</w:t>
      </w:r>
      <w:r w:rsidRPr="00DA5119">
        <w:rPr>
          <w:rFonts w:asciiTheme="minorHAnsi" w:hAnsiTheme="minorHAnsi"/>
        </w:rPr>
        <w:tab/>
        <w:t xml:space="preserve">Fujimori, S.; Hasegawa, T.; Masui, T.; Takahashi, K.; Herran, D. S.; Dai, H.; Hijioka, Y.; Kainuma, M., SSP3: AIM implementation of Shared Socioeconomic Pathways. </w:t>
      </w:r>
      <w:r w:rsidRPr="00DA5119">
        <w:rPr>
          <w:rFonts w:asciiTheme="minorHAnsi" w:hAnsiTheme="minorHAnsi"/>
          <w:i/>
        </w:rPr>
        <w:t xml:space="preserve">Global Environmental Change </w:t>
      </w:r>
      <w:r w:rsidRPr="00DA5119">
        <w:rPr>
          <w:rFonts w:asciiTheme="minorHAnsi" w:hAnsiTheme="minorHAnsi"/>
          <w:b/>
        </w:rPr>
        <w:t>2017,</w:t>
      </w:r>
      <w:r w:rsidRPr="00DA5119">
        <w:rPr>
          <w:rFonts w:asciiTheme="minorHAnsi" w:hAnsiTheme="minorHAnsi"/>
        </w:rPr>
        <w:t xml:space="preserve"> </w:t>
      </w:r>
      <w:r w:rsidRPr="00DA5119">
        <w:rPr>
          <w:rFonts w:asciiTheme="minorHAnsi" w:hAnsiTheme="minorHAnsi"/>
          <w:i/>
        </w:rPr>
        <w:t>42</w:t>
      </w:r>
      <w:r w:rsidRPr="00DA5119">
        <w:rPr>
          <w:rFonts w:asciiTheme="minorHAnsi" w:hAnsiTheme="minorHAnsi"/>
        </w:rPr>
        <w:t>, 268-283.</w:t>
      </w:r>
    </w:p>
    <w:p w14:paraId="43B1F40A" w14:textId="77777777" w:rsidR="008036FA" w:rsidRPr="00DA5119" w:rsidRDefault="008036FA" w:rsidP="00DA5119">
      <w:pPr>
        <w:pStyle w:val="References"/>
        <w:ind w:left="-90" w:hanging="270"/>
        <w:rPr>
          <w:rFonts w:asciiTheme="minorHAnsi" w:hAnsiTheme="minorHAnsi"/>
        </w:rPr>
      </w:pPr>
      <w:r w:rsidRPr="00DA5119">
        <w:rPr>
          <w:rFonts w:asciiTheme="minorHAnsi" w:hAnsiTheme="minorHAnsi"/>
        </w:rPr>
        <w:t>2.</w:t>
      </w:r>
      <w:r w:rsidRPr="00DA5119">
        <w:rPr>
          <w:rFonts w:asciiTheme="minorHAnsi" w:hAnsiTheme="minorHAnsi"/>
        </w:rPr>
        <w:tab/>
        <w:t xml:space="preserve">Fujimori, S.; Hasegawa, T.; Masui, T.; Takahashi, K., Land use representation in a global CGE model for long-term simulation: CET vs. logit functions. </w:t>
      </w:r>
      <w:r w:rsidRPr="00DA5119">
        <w:rPr>
          <w:rFonts w:asciiTheme="minorHAnsi" w:hAnsiTheme="minorHAnsi"/>
          <w:i/>
        </w:rPr>
        <w:t xml:space="preserve">Food Security </w:t>
      </w:r>
      <w:r w:rsidRPr="00DA5119">
        <w:rPr>
          <w:rFonts w:asciiTheme="minorHAnsi" w:hAnsiTheme="minorHAnsi"/>
          <w:b/>
        </w:rPr>
        <w:t>2014,</w:t>
      </w:r>
      <w:r w:rsidRPr="00DA5119">
        <w:rPr>
          <w:rFonts w:asciiTheme="minorHAnsi" w:hAnsiTheme="minorHAnsi"/>
        </w:rPr>
        <w:t xml:space="preserve"> </w:t>
      </w:r>
      <w:r w:rsidRPr="00DA5119">
        <w:rPr>
          <w:rFonts w:asciiTheme="minorHAnsi" w:hAnsiTheme="minorHAnsi"/>
          <w:i/>
        </w:rPr>
        <w:t>6</w:t>
      </w:r>
      <w:r w:rsidRPr="00DA5119">
        <w:rPr>
          <w:rFonts w:asciiTheme="minorHAnsi" w:hAnsiTheme="minorHAnsi"/>
        </w:rPr>
        <w:t>, (5), 685-699.</w:t>
      </w:r>
    </w:p>
    <w:p w14:paraId="1CEBFA07" w14:textId="77777777" w:rsidR="008036FA" w:rsidRPr="00DA5119" w:rsidRDefault="008036FA" w:rsidP="00DA5119">
      <w:pPr>
        <w:pStyle w:val="References"/>
        <w:ind w:left="-90" w:hanging="270"/>
        <w:rPr>
          <w:rFonts w:asciiTheme="minorHAnsi" w:hAnsiTheme="minorHAnsi"/>
        </w:rPr>
      </w:pPr>
      <w:r w:rsidRPr="00DA5119">
        <w:rPr>
          <w:rFonts w:asciiTheme="minorHAnsi" w:hAnsiTheme="minorHAnsi"/>
        </w:rPr>
        <w:t>3.</w:t>
      </w:r>
      <w:r w:rsidRPr="00DA5119">
        <w:rPr>
          <w:rFonts w:asciiTheme="minorHAnsi" w:hAnsiTheme="minorHAnsi"/>
        </w:rPr>
        <w:tab/>
        <w:t xml:space="preserve">Fujimori, S.; Masui, T.; Matsuoka, Y. </w:t>
      </w:r>
      <w:r w:rsidRPr="00DA5119">
        <w:rPr>
          <w:rFonts w:asciiTheme="minorHAnsi" w:hAnsiTheme="minorHAnsi"/>
          <w:i/>
        </w:rPr>
        <w:t>AIM/CGE [basic] manual</w:t>
      </w:r>
      <w:r w:rsidRPr="00DA5119">
        <w:rPr>
          <w:rFonts w:asciiTheme="minorHAnsi" w:hAnsiTheme="minorHAnsi"/>
        </w:rPr>
        <w:t>; 2012-01; Center for Social and Environmental Systems Research, National Institute Environmental Studies: 2012; pp 1-87.</w:t>
      </w:r>
    </w:p>
    <w:p w14:paraId="23E3A294" w14:textId="77777777" w:rsidR="008036FA" w:rsidRPr="00DA5119" w:rsidRDefault="008036FA" w:rsidP="00DA5119">
      <w:pPr>
        <w:pStyle w:val="References"/>
        <w:ind w:left="-90" w:hanging="270"/>
        <w:rPr>
          <w:rFonts w:asciiTheme="minorHAnsi" w:hAnsiTheme="minorHAnsi"/>
        </w:rPr>
      </w:pPr>
      <w:r w:rsidRPr="00DA5119">
        <w:rPr>
          <w:rFonts w:asciiTheme="minorHAnsi" w:hAnsiTheme="minorHAnsi"/>
        </w:rPr>
        <w:t>4.</w:t>
      </w:r>
      <w:r w:rsidRPr="00DA5119">
        <w:rPr>
          <w:rFonts w:asciiTheme="minorHAnsi" w:hAnsiTheme="minorHAnsi"/>
        </w:rPr>
        <w:tab/>
        <w:t xml:space="preserve">Hasegawa, T.; Fujimori, S.; Takahashi, K.; Masui, T., Scenarios for the risk of hunger in the twenty-first century using Shared Socioeconomic Pathways. </w:t>
      </w:r>
      <w:r w:rsidRPr="00DA5119">
        <w:rPr>
          <w:rFonts w:asciiTheme="minorHAnsi" w:hAnsiTheme="minorHAnsi"/>
          <w:i/>
        </w:rPr>
        <w:t xml:space="preserve">Environmental Research Letters </w:t>
      </w:r>
      <w:r w:rsidRPr="00DA5119">
        <w:rPr>
          <w:rFonts w:asciiTheme="minorHAnsi" w:hAnsiTheme="minorHAnsi"/>
          <w:b/>
        </w:rPr>
        <w:t>2015,</w:t>
      </w:r>
      <w:r w:rsidRPr="00DA5119">
        <w:rPr>
          <w:rFonts w:asciiTheme="minorHAnsi" w:hAnsiTheme="minorHAnsi"/>
        </w:rPr>
        <w:t xml:space="preserve"> </w:t>
      </w:r>
      <w:r w:rsidRPr="00DA5119">
        <w:rPr>
          <w:rFonts w:asciiTheme="minorHAnsi" w:hAnsiTheme="minorHAnsi"/>
          <w:i/>
        </w:rPr>
        <w:t>10</w:t>
      </w:r>
      <w:r w:rsidRPr="00DA5119">
        <w:rPr>
          <w:rFonts w:asciiTheme="minorHAnsi" w:hAnsiTheme="minorHAnsi"/>
        </w:rPr>
        <w:t>, (1), 014010.</w:t>
      </w:r>
    </w:p>
    <w:p w14:paraId="634F0B13" w14:textId="77777777" w:rsidR="00442DBA" w:rsidRPr="00DA5119" w:rsidRDefault="008036FA" w:rsidP="00DA5119">
      <w:pPr>
        <w:pStyle w:val="References"/>
        <w:ind w:left="-90" w:hanging="270"/>
        <w:rPr>
          <w:rFonts w:asciiTheme="minorHAnsi" w:hAnsiTheme="minorHAnsi"/>
        </w:rPr>
      </w:pPr>
      <w:r w:rsidRPr="00DA5119">
        <w:rPr>
          <w:rFonts w:asciiTheme="minorHAnsi" w:hAnsiTheme="minorHAnsi"/>
        </w:rPr>
        <w:t>5.</w:t>
      </w:r>
      <w:r w:rsidRPr="00DA5119">
        <w:rPr>
          <w:rFonts w:asciiTheme="minorHAnsi" w:hAnsiTheme="minorHAnsi"/>
        </w:rPr>
        <w:tab/>
        <w:t xml:space="preserve">Fujimori, S.; Hasegawa, T.; Masui, T.; Takahashi, K., Land use representation in a global CGE model for long-term simulation: CET vs. logit functions. </w:t>
      </w:r>
      <w:r w:rsidRPr="00DA5119">
        <w:rPr>
          <w:rFonts w:asciiTheme="minorHAnsi" w:hAnsiTheme="minorHAnsi"/>
          <w:i/>
        </w:rPr>
        <w:t xml:space="preserve">Food Secur </w:t>
      </w:r>
      <w:r w:rsidRPr="00DA5119">
        <w:rPr>
          <w:rFonts w:asciiTheme="minorHAnsi" w:hAnsiTheme="minorHAnsi"/>
          <w:b/>
        </w:rPr>
        <w:t>2014,</w:t>
      </w:r>
      <w:r w:rsidRPr="00DA5119">
        <w:rPr>
          <w:rFonts w:asciiTheme="minorHAnsi" w:hAnsiTheme="minorHAnsi"/>
        </w:rPr>
        <w:t xml:space="preserve"> </w:t>
      </w:r>
      <w:r w:rsidRPr="00DA5119">
        <w:rPr>
          <w:rFonts w:asciiTheme="minorHAnsi" w:hAnsiTheme="minorHAnsi"/>
          <w:i/>
        </w:rPr>
        <w:t>6</w:t>
      </w:r>
      <w:r w:rsidRPr="00DA5119">
        <w:rPr>
          <w:rFonts w:asciiTheme="minorHAnsi" w:hAnsiTheme="minorHAnsi"/>
        </w:rPr>
        <w:t>.</w:t>
      </w:r>
    </w:p>
    <w:p w14:paraId="380681F2" w14:textId="77777777" w:rsidR="00442DBA" w:rsidRPr="00DA5119" w:rsidRDefault="00442DBA" w:rsidP="00DA5119">
      <w:pPr>
        <w:pStyle w:val="References"/>
        <w:ind w:left="-90" w:hanging="270"/>
        <w:rPr>
          <w:rFonts w:asciiTheme="minorHAnsi" w:hAnsiTheme="minorHAnsi"/>
        </w:rPr>
      </w:pPr>
    </w:p>
    <w:p w14:paraId="43D44DA3" w14:textId="40848C48" w:rsidR="008036FA" w:rsidRPr="00DA5119" w:rsidRDefault="008036FA" w:rsidP="00DA5119">
      <w:pPr>
        <w:pStyle w:val="Heading5"/>
        <w:ind w:left="-90"/>
        <w:rPr>
          <w:rFonts w:asciiTheme="minorHAnsi" w:hAnsiTheme="minorHAnsi"/>
        </w:rPr>
      </w:pPr>
      <w:r w:rsidRPr="00DA5119">
        <w:rPr>
          <w:rFonts w:asciiTheme="minorHAnsi" w:hAnsiTheme="minorHAnsi"/>
        </w:rPr>
        <w:t>DNE21+</w:t>
      </w:r>
    </w:p>
    <w:p w14:paraId="42B33AA9" w14:textId="77777777" w:rsidR="008036FA" w:rsidRPr="00DA5119" w:rsidRDefault="008036FA" w:rsidP="00DA5119">
      <w:pPr>
        <w:pStyle w:val="Body"/>
        <w:ind w:left="-90"/>
        <w:rPr>
          <w:rFonts w:asciiTheme="minorHAnsi" w:hAnsiTheme="minorHAnsi"/>
        </w:rPr>
      </w:pPr>
      <w:r w:rsidRPr="00DA5119">
        <w:rPr>
          <w:rFonts w:asciiTheme="minorHAnsi" w:hAnsiTheme="minorHAnsi"/>
        </w:rPr>
        <w:t>Dynamic New Earth 21 Plus (DNE21+) is an integrated assessment model. The model’s assessment framework consists of 4 modules; 1) Key assessment model for energy-related CO</w:t>
      </w:r>
      <w:r w:rsidRPr="00DA5119">
        <w:rPr>
          <w:rFonts w:asciiTheme="minorHAnsi" w:hAnsiTheme="minorHAnsi"/>
          <w:vertAlign w:val="subscript"/>
        </w:rPr>
        <w:t>2</w:t>
      </w:r>
      <w:r w:rsidRPr="00DA5119">
        <w:rPr>
          <w:rFonts w:asciiTheme="minorHAnsi" w:hAnsiTheme="minorHAnsi"/>
        </w:rPr>
        <w:t>, 2) assessment model for land use (land area for food production, energy crops, and afforestation) and LULUCF CO</w:t>
      </w:r>
      <w:r w:rsidRPr="00DA5119">
        <w:rPr>
          <w:rFonts w:asciiTheme="minorHAnsi" w:hAnsiTheme="minorHAnsi"/>
          <w:vertAlign w:val="subscript"/>
        </w:rPr>
        <w:t>2</w:t>
      </w:r>
      <w:r w:rsidRPr="00DA5119">
        <w:rPr>
          <w:rFonts w:asciiTheme="minorHAnsi" w:hAnsiTheme="minorHAnsi"/>
        </w:rPr>
        <w:t xml:space="preserve"> emission, 3) Non-energy CO</w:t>
      </w:r>
      <w:r w:rsidRPr="00DA5119">
        <w:rPr>
          <w:rFonts w:asciiTheme="minorHAnsi" w:hAnsiTheme="minorHAnsi"/>
          <w:vertAlign w:val="subscript"/>
        </w:rPr>
        <w:t>2</w:t>
      </w:r>
      <w:r w:rsidRPr="00DA5119">
        <w:rPr>
          <w:rFonts w:asciiTheme="minorHAnsi" w:hAnsiTheme="minorHAnsi"/>
        </w:rPr>
        <w:t xml:space="preserve"> emission scenario, which assumes specific non-energy CO</w:t>
      </w:r>
      <w:r w:rsidRPr="00DA5119">
        <w:rPr>
          <w:rFonts w:asciiTheme="minorHAnsi" w:hAnsiTheme="minorHAnsi"/>
          <w:vertAlign w:val="subscript"/>
        </w:rPr>
        <w:t>2</w:t>
      </w:r>
      <w:r w:rsidRPr="00DA5119">
        <w:rPr>
          <w:rFonts w:asciiTheme="minorHAnsi" w:hAnsiTheme="minorHAnsi"/>
        </w:rPr>
        <w:t xml:space="preserve"> emissions separately from mitigation levels of energy-related CO</w:t>
      </w:r>
      <w:r w:rsidRPr="00DA5119">
        <w:rPr>
          <w:rFonts w:asciiTheme="minorHAnsi" w:hAnsiTheme="minorHAnsi"/>
          <w:vertAlign w:val="subscript"/>
        </w:rPr>
        <w:t>2</w:t>
      </w:r>
      <w:r w:rsidRPr="00DA5119">
        <w:rPr>
          <w:rFonts w:asciiTheme="minorHAnsi" w:hAnsiTheme="minorHAnsi"/>
        </w:rPr>
        <w:t>, 4) assessment model for Non-CO</w:t>
      </w:r>
      <w:r w:rsidRPr="00DA5119">
        <w:rPr>
          <w:rFonts w:asciiTheme="minorHAnsi" w:hAnsiTheme="minorHAnsi"/>
          <w:vertAlign w:val="subscript"/>
        </w:rPr>
        <w:t>2</w:t>
      </w:r>
      <w:r w:rsidRPr="00DA5119">
        <w:rPr>
          <w:rFonts w:asciiTheme="minorHAnsi" w:hAnsiTheme="minorHAnsi"/>
        </w:rPr>
        <w:t xml:space="preserve"> GHG, for mitigation of the five non-CO</w:t>
      </w:r>
      <w:r w:rsidRPr="00DA5119">
        <w:rPr>
          <w:rFonts w:asciiTheme="minorHAnsi" w:hAnsiTheme="minorHAnsi"/>
          <w:vertAlign w:val="subscript"/>
        </w:rPr>
        <w:t>2</w:t>
      </w:r>
      <w:r w:rsidRPr="00DA5119">
        <w:rPr>
          <w:rFonts w:asciiTheme="minorHAnsi" w:hAnsiTheme="minorHAnsi"/>
        </w:rPr>
        <w:t xml:space="preserve"> greenhouse gases </w:t>
      </w:r>
      <w:r w:rsidRPr="00DA5119">
        <w:rPr>
          <w:rFonts w:asciiTheme="minorHAnsi" w:hAnsiTheme="minorHAnsi"/>
        </w:rPr>
        <w:lastRenderedPageBreak/>
        <w:t>emissions of the Kyoto Protocol, based on the United States Environmental Protection Agency assessments.</w:t>
      </w:r>
    </w:p>
    <w:p w14:paraId="70DE3411" w14:textId="77777777" w:rsidR="008036FA" w:rsidRPr="00DA5119" w:rsidRDefault="008036FA" w:rsidP="00DA5119">
      <w:pPr>
        <w:pStyle w:val="Body"/>
        <w:ind w:left="-90"/>
        <w:rPr>
          <w:rFonts w:asciiTheme="minorHAnsi" w:hAnsiTheme="minorHAnsi"/>
        </w:rPr>
      </w:pPr>
      <w:r w:rsidRPr="00DA5119">
        <w:rPr>
          <w:rFonts w:asciiTheme="minorHAnsi" w:hAnsiTheme="minorHAnsi"/>
        </w:rPr>
        <w:t>The model for energy-related CO</w:t>
      </w:r>
      <w:r w:rsidRPr="00DA5119">
        <w:rPr>
          <w:rFonts w:asciiTheme="minorHAnsi" w:hAnsiTheme="minorHAnsi"/>
          <w:vertAlign w:val="subscript"/>
        </w:rPr>
        <w:t>2</w:t>
      </w:r>
      <w:r w:rsidRPr="00DA5119">
        <w:rPr>
          <w:rFonts w:asciiTheme="minorHAnsi" w:hAnsiTheme="minorHAnsi"/>
        </w:rPr>
        <w:t xml:space="preserve"> is an intertemporal linear programming model for assessment of global energy systems and global warming mitigation in which the worldwide costs are to be minimized. The model represents regional differences, and assesses detailed energy-related CO</w:t>
      </w:r>
      <w:r w:rsidRPr="00DA5119">
        <w:rPr>
          <w:rFonts w:asciiTheme="minorHAnsi" w:hAnsiTheme="minorHAnsi"/>
          <w:vertAlign w:val="subscript"/>
        </w:rPr>
        <w:t>2</w:t>
      </w:r>
      <w:r w:rsidRPr="00DA5119">
        <w:rPr>
          <w:rFonts w:asciiTheme="minorHAnsi" w:hAnsiTheme="minorHAnsi"/>
        </w:rPr>
        <w:t xml:space="preserve"> emission reduction technologies up to 2100. When any emission restriction (for example, emission reduction targets, targets of energy or emission intensity improvements, or carbon taxes) is applied, the model specifies the energy systems whose costs are minimized, meeting all the assumed requirements, including assumed production for industries such as iron and steel, cement, and paper and pulp, transportation by automobile, bus, and truck, and other energy demands. Non-GHG SLCF emissions (e.g., black carbon) are hard-linked with this model.</w:t>
      </w:r>
    </w:p>
    <w:p w14:paraId="178065BE" w14:textId="77777777" w:rsidR="008036FA" w:rsidRPr="00DA5119" w:rsidRDefault="008036FA" w:rsidP="00DA5119">
      <w:pPr>
        <w:pStyle w:val="ReferenceHeader"/>
        <w:keepNext/>
        <w:ind w:left="-90"/>
        <w:rPr>
          <w:rFonts w:asciiTheme="minorHAnsi" w:hAnsiTheme="minorHAnsi"/>
        </w:rPr>
      </w:pPr>
      <w:r w:rsidRPr="00DA5119">
        <w:rPr>
          <w:rFonts w:asciiTheme="minorHAnsi" w:hAnsiTheme="minorHAnsi"/>
        </w:rPr>
        <w:t>References</w:t>
      </w:r>
    </w:p>
    <w:p w14:paraId="33CBDD5A"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Akimoto, K., Sano, F., Homma, T., Oda, J., Nagashima, M., Kii, M., Estimates of GHG emission reduction potential by country, sector, and cost, Energy Policy, Vol. 38 pp. 3384-3393, 2010.</w:t>
      </w:r>
    </w:p>
    <w:p w14:paraId="2EF7896F"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Sano, F., Wada, K., Akimoto, T., Oda, J., Assessments of GHG emission reduction scenarios of different levels and different short-term pledges through macro- and sectoral decomposition analyses, Technological Forecasting &amp; Social Change, Vol. 90, Part A, pp. 153-165, 2015</w:t>
      </w:r>
    </w:p>
    <w:p w14:paraId="1DD8305B" w14:textId="77777777" w:rsidR="00442DBA" w:rsidRPr="00DA5119" w:rsidRDefault="008036FA" w:rsidP="00DA5119">
      <w:pPr>
        <w:pStyle w:val="References"/>
        <w:ind w:left="-90"/>
        <w:rPr>
          <w:rFonts w:asciiTheme="minorHAnsi" w:hAnsiTheme="minorHAnsi"/>
        </w:rPr>
      </w:pPr>
      <w:r w:rsidRPr="00DA5119">
        <w:rPr>
          <w:rFonts w:asciiTheme="minorHAnsi" w:hAnsiTheme="minorHAnsi"/>
        </w:rPr>
        <w:t>Hayashi, A., Akimoto, K., Sano, F., Tomoda, T., Evaluation of global energy crop production potential up to 2100 under socioeconomic development and climate change scenarios, Journal of Japan Institute of Energy, Vol. 94, No. 6, pp. 548-554, 2015</w:t>
      </w:r>
    </w:p>
    <w:p w14:paraId="290A058A" w14:textId="77777777" w:rsidR="00442DBA" w:rsidRPr="00DA5119" w:rsidRDefault="00442DBA" w:rsidP="00DA5119">
      <w:pPr>
        <w:pStyle w:val="References"/>
        <w:ind w:left="-90" w:firstLine="0"/>
        <w:rPr>
          <w:rFonts w:asciiTheme="minorHAnsi" w:hAnsiTheme="minorHAnsi"/>
        </w:rPr>
      </w:pPr>
    </w:p>
    <w:p w14:paraId="281BEEB2" w14:textId="11CE0E5F" w:rsidR="008036FA" w:rsidRPr="00DA5119" w:rsidRDefault="008036FA" w:rsidP="00DA5119">
      <w:pPr>
        <w:pStyle w:val="Heading5"/>
        <w:ind w:left="-90"/>
        <w:rPr>
          <w:rFonts w:asciiTheme="minorHAnsi" w:hAnsiTheme="minorHAnsi"/>
        </w:rPr>
      </w:pPr>
      <w:r w:rsidRPr="00DA5119">
        <w:rPr>
          <w:rFonts w:asciiTheme="minorHAnsi" w:hAnsiTheme="minorHAnsi"/>
        </w:rPr>
        <w:t>ENV-Linkages</w:t>
      </w:r>
    </w:p>
    <w:p w14:paraId="52A0F576" w14:textId="77777777" w:rsidR="008036FA" w:rsidRPr="00DA5119" w:rsidRDefault="008036FA" w:rsidP="00DA5119">
      <w:pPr>
        <w:pStyle w:val="Body"/>
        <w:ind w:left="-90"/>
        <w:rPr>
          <w:rFonts w:asciiTheme="minorHAnsi" w:hAnsiTheme="minorHAnsi"/>
        </w:rPr>
      </w:pPr>
      <w:r w:rsidRPr="00DA5119">
        <w:rPr>
          <w:rFonts w:asciiTheme="minorHAnsi" w:hAnsiTheme="minorHAnsi"/>
        </w:rPr>
        <w:t>The OECD’s in-house global dynamic computable general equilibrium (CGE) model – ENV-Linkages – is a multi-sectoral, multi-regional model that links economic activities to energy and environmental issues. It is used as the basis for the assessment of the economic consequences of climate impacts as well as outdoor air pollution damages until 2060. The advantage of using a CGE framework to model those impacts is that the sectoral details of the model can be exploited. Contrary to aggregated Integrated Assessment Models, where monetized impacts are directly subtracted from GDP, in a CGE model the various types of impacts can be modeled as directly linked to the relevant sectors and economic activities.</w:t>
      </w:r>
    </w:p>
    <w:p w14:paraId="03F57EB2" w14:textId="77777777" w:rsidR="008036FA" w:rsidRPr="00DA5119" w:rsidRDefault="008036FA" w:rsidP="00DA5119">
      <w:pPr>
        <w:pStyle w:val="Body"/>
        <w:ind w:left="-90"/>
        <w:rPr>
          <w:rFonts w:asciiTheme="minorHAnsi" w:hAnsiTheme="minorHAnsi"/>
        </w:rPr>
      </w:pPr>
      <w:r w:rsidRPr="00DA5119">
        <w:rPr>
          <w:rFonts w:asciiTheme="minorHAnsi" w:hAnsiTheme="minorHAnsi"/>
        </w:rPr>
        <w:t>ENV-Linkages is the successor to the OECD GREEN model for environmental studies (Burniaux et al., 1992). A more comprehensive model description is given in Chateau et al. (2014); whereas a description of the baseline construction is given in Chateau et al. (2011).</w:t>
      </w:r>
    </w:p>
    <w:p w14:paraId="7C0A296F" w14:textId="77777777" w:rsidR="008036FA" w:rsidRPr="00DA5119" w:rsidRDefault="008036FA" w:rsidP="00DA5119">
      <w:pPr>
        <w:pStyle w:val="Body"/>
        <w:ind w:left="-90"/>
        <w:rPr>
          <w:rFonts w:asciiTheme="minorHAnsi" w:hAnsiTheme="minorHAnsi"/>
        </w:rPr>
      </w:pPr>
      <w:r w:rsidRPr="00DA5119">
        <w:rPr>
          <w:rFonts w:asciiTheme="minorHAnsi" w:hAnsiTheme="minorHAnsi"/>
        </w:rPr>
        <w:t>ENV-Linkages (with a disaggregation in 25 regions and 35 sectors) describes how economic activities are linked to each other between sectors and across regions. The model contains bilateral trade flows and has a sophisticated description of capital accumulation using capital vintages, in which technological advances only trickle down slowly over time to affect existing capital stocks. In ENV-Linkages, sectoral and regional economic activities are projected for the medium- and long-term future, up to 2060, based on socio-economic drivers such as demographic developments, economic growth and development in economic sectors. ENV-Linkages also links economic activity to environmental pressure, specifically to GHG and air pollutant emissions.</w:t>
      </w:r>
    </w:p>
    <w:p w14:paraId="2CE47F10" w14:textId="77777777" w:rsidR="008036FA" w:rsidRPr="00DA5119" w:rsidRDefault="008036FA" w:rsidP="00DA5119">
      <w:pPr>
        <w:pStyle w:val="Body"/>
        <w:ind w:left="-90"/>
        <w:rPr>
          <w:rFonts w:asciiTheme="minorHAnsi" w:hAnsiTheme="minorHAnsi"/>
          <w:i/>
        </w:rPr>
      </w:pPr>
      <w:r w:rsidRPr="00DA5119">
        <w:rPr>
          <w:rFonts w:asciiTheme="minorHAnsi" w:hAnsiTheme="minorHAnsi"/>
          <w:i/>
          <w:u w:val="single"/>
        </w:rPr>
        <w:t>References</w:t>
      </w:r>
    </w:p>
    <w:p w14:paraId="54EB467A"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Burniaux, J.-M., G. Nicoletti and J. Oliveira Martins (1992), “GREEN: A Global Model for Quantifying the Costs of Policies to Curb CO 2 Emissions”, OECD Economic Studies, 19 (Winter).</w:t>
      </w:r>
    </w:p>
    <w:p w14:paraId="60FBA2F7"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Chateau, J., R. Dellink and E. Lanzi (2014), “An Overview of the OECD ENV-Linkages Model: Version 3”, OECD Environment Working Papers, No. 65, OECD Publishing, Paris, http://dx.doi.org/10.1787/5jz2qck2b2vd-en.</w:t>
      </w:r>
    </w:p>
    <w:p w14:paraId="30A7C61B" w14:textId="77777777" w:rsidR="008036FA" w:rsidRPr="00DA5119" w:rsidRDefault="008036FA" w:rsidP="00DA5119">
      <w:pPr>
        <w:pStyle w:val="References"/>
        <w:ind w:left="-90"/>
        <w:rPr>
          <w:rFonts w:asciiTheme="minorHAnsi" w:hAnsiTheme="minorHAnsi"/>
        </w:rPr>
      </w:pPr>
      <w:r w:rsidRPr="00DA5119">
        <w:rPr>
          <w:rFonts w:asciiTheme="minorHAnsi" w:hAnsiTheme="minorHAnsi"/>
        </w:rPr>
        <w:lastRenderedPageBreak/>
        <w:t>Chateau, J., C. Rebolledo and R. Dellink (2011), “An Economic Projection to 2050: The OECD ‘ENV-Linkages’ Model Baseline”, OECD Environment Working Papers, No. 41, OECD Publishing, Paris, http://dx.doi.org/10.1787/5kg0ndkjvfhf-en.</w:t>
      </w:r>
    </w:p>
    <w:p w14:paraId="3BCF9DB9" w14:textId="77777777" w:rsidR="00442DBA" w:rsidRPr="00DA5119" w:rsidRDefault="00442DBA" w:rsidP="00DA5119"/>
    <w:p w14:paraId="3F266C0B" w14:textId="258A0ADE" w:rsidR="008036FA" w:rsidRPr="00DA5119" w:rsidRDefault="008036FA" w:rsidP="00DA5119">
      <w:pPr>
        <w:pStyle w:val="Heading5"/>
        <w:rPr>
          <w:rFonts w:asciiTheme="minorHAnsi" w:hAnsiTheme="minorHAnsi"/>
        </w:rPr>
      </w:pPr>
      <w:r w:rsidRPr="00DA5119">
        <w:rPr>
          <w:rFonts w:asciiTheme="minorHAnsi" w:hAnsiTheme="minorHAnsi"/>
        </w:rPr>
        <w:t>IMAGE</w:t>
      </w:r>
    </w:p>
    <w:p w14:paraId="400BA7FB" w14:textId="6B1B422C" w:rsidR="008036FA" w:rsidRPr="00DA5119" w:rsidRDefault="008036FA" w:rsidP="00DA5119">
      <w:pPr>
        <w:pStyle w:val="Body"/>
        <w:ind w:left="-90"/>
        <w:rPr>
          <w:rFonts w:asciiTheme="minorHAnsi" w:hAnsiTheme="minorHAnsi"/>
        </w:rPr>
      </w:pPr>
      <w:r w:rsidRPr="00DA5119">
        <w:rPr>
          <w:rFonts w:asciiTheme="minorHAnsi" w:hAnsiTheme="minorHAnsi"/>
        </w:rPr>
        <w:t xml:space="preserve">The description of the IMAGE 3.0 model below relies heavily on and uses text from the online IMAGE 3.0 model documentation, which in turn is fully based on the IMAGE 3.0 book </w:t>
      </w:r>
      <w:r w:rsidRPr="00DA5119">
        <w:rPr>
          <w:rFonts w:asciiTheme="minorHAnsi" w:hAnsiTheme="minorHAnsi"/>
        </w:rPr>
        <w:fldChar w:fldCharType="begin"/>
      </w:r>
      <w:r w:rsidRPr="00DA5119">
        <w:rPr>
          <w:rFonts w:asciiTheme="minorHAnsi" w:hAnsiTheme="minorHAnsi"/>
        </w:rPr>
        <w:instrText xml:space="preserve"> ADDIN EN.CITE &lt;EndNote&gt;&lt;Cite&gt;&lt;Author&gt;Stehfest&lt;/Author&gt;&lt;Year&gt;2014&lt;/Year&gt;&lt;RecNum&gt;274&lt;/RecNum&gt;&lt;DisplayText&gt;(Stehfest et al., 2014)&lt;/DisplayText&gt;&lt;record&gt;&lt;rec-number&gt;274&lt;/rec-number&gt;&lt;foreign-keys&gt;&lt;key app="EN" db-id="ewxvdw52e55r2gefrsovdxwk0xrz0v2zfp2s" timestamp="1449496398"&gt;274&lt;/key&gt;&lt;/foreign-keys&gt;&lt;ref-type name="Journal Article"&gt;17&lt;/ref-type&gt;&lt;contributors&gt;&lt;authors&gt;&lt;author&gt;Stehfest, E.&lt;/author&gt;&lt;author&gt;van Vuuren, D.P. &lt;/author&gt;&lt;author&gt;Kram, T.&lt;/author&gt;&lt;author&gt;Bouwman , A.F.&lt;/author&gt;&lt;author&gt;(eds.)&lt;/author&gt;&lt;/authors&gt;&lt;/contributors&gt;&lt;titles&gt;&lt;title&gt;&lt;style face="italic" font="default" size="100%"&gt;Integrated Assessment of Global Environmental Change with IMAGE 3.0. Model description and policy applications&lt;/style&gt;&lt;/title&gt;&lt;secondary-title&gt;The Hague: PBL Netherlands Environmental Assessment Agency&lt;/secondary-title&gt;&lt;/titles&gt;&lt;periodical&gt;&lt;full-title&gt;The Hague: PBL Netherlands Environmental Assessment Agency&lt;/full-title&gt;&lt;/periodical&gt;&lt;dates&gt;&lt;year&gt;2014&lt;/year&gt;&lt;/dates&gt;&lt;urls&gt;&lt;/urls&gt;&lt;/record&gt;&lt;/Cite&gt;&lt;/EndNote&gt;</w:instrText>
      </w:r>
      <w:r w:rsidRPr="00DA5119">
        <w:rPr>
          <w:rFonts w:asciiTheme="minorHAnsi" w:hAnsiTheme="minorHAnsi"/>
        </w:rPr>
        <w:fldChar w:fldCharType="separate"/>
      </w:r>
      <w:r w:rsidRPr="00DA5119">
        <w:rPr>
          <w:rFonts w:asciiTheme="minorHAnsi" w:hAnsiTheme="minorHAnsi"/>
        </w:rPr>
        <w:t>(</w:t>
      </w:r>
      <w:hyperlink w:anchor="_ENREF_38" w:tooltip="Stehfest, 2014 #274" w:history="1">
        <w:r w:rsidR="00884561" w:rsidRPr="00DA5119">
          <w:rPr>
            <w:rFonts w:asciiTheme="minorHAnsi" w:hAnsiTheme="minorHAnsi"/>
          </w:rPr>
          <w:t>Stehfest et al., 2014</w:t>
        </w:r>
      </w:hyperlink>
      <w:r w:rsidRPr="00DA5119">
        <w:rPr>
          <w:rFonts w:asciiTheme="minorHAnsi" w:hAnsiTheme="minorHAnsi"/>
        </w:rPr>
        <w:t>)</w:t>
      </w:r>
      <w:r w:rsidRPr="00DA5119">
        <w:rPr>
          <w:rFonts w:asciiTheme="minorHAnsi" w:hAnsiTheme="minorHAnsi"/>
        </w:rPr>
        <w:fldChar w:fldCharType="end"/>
      </w:r>
      <w:r w:rsidRPr="00DA5119">
        <w:rPr>
          <w:rFonts w:asciiTheme="minorHAnsi" w:hAnsiTheme="minorHAnsi"/>
        </w:rPr>
        <w:t>. The online documentation can be found here:</w:t>
      </w:r>
    </w:p>
    <w:p w14:paraId="1A3814B0" w14:textId="77777777" w:rsidR="008036FA" w:rsidRPr="00DA5119" w:rsidRDefault="00643584" w:rsidP="00DA5119">
      <w:pPr>
        <w:pStyle w:val="Body"/>
        <w:ind w:left="-90"/>
        <w:rPr>
          <w:rFonts w:asciiTheme="minorHAnsi" w:hAnsiTheme="minorHAnsi"/>
          <w:sz w:val="22"/>
        </w:rPr>
      </w:pPr>
      <w:hyperlink r:id="rId10" w:history="1">
        <w:r w:rsidR="008036FA" w:rsidRPr="00DA5119">
          <w:rPr>
            <w:rStyle w:val="Hyperlink"/>
            <w:rFonts w:asciiTheme="minorHAnsi" w:hAnsiTheme="minorHAnsi"/>
            <w:sz w:val="22"/>
          </w:rPr>
          <w:t>http://themasites.pbl.nl/models/image/index.php/Welcome_to_IMAGE_3.0_Documentation</w:t>
        </w:r>
      </w:hyperlink>
    </w:p>
    <w:p w14:paraId="747E68DE" w14:textId="77777777" w:rsidR="008036FA" w:rsidRPr="00DA5119" w:rsidRDefault="008036FA" w:rsidP="00DA5119">
      <w:pPr>
        <w:pStyle w:val="Body"/>
        <w:ind w:left="-90"/>
        <w:rPr>
          <w:rFonts w:asciiTheme="minorHAnsi" w:hAnsiTheme="minorHAnsi"/>
        </w:rPr>
      </w:pPr>
      <w:r w:rsidRPr="00DA5119">
        <w:rPr>
          <w:rFonts w:asciiTheme="minorHAnsi" w:hAnsiTheme="minorHAnsi"/>
        </w:rPr>
        <w:t>A stepwise introduction to the modeling framework can be found at the following link:</w:t>
      </w:r>
    </w:p>
    <w:p w14:paraId="308A110C" w14:textId="77777777" w:rsidR="008036FA" w:rsidRPr="00DA5119" w:rsidRDefault="00643584" w:rsidP="00DA5119">
      <w:pPr>
        <w:pStyle w:val="Body"/>
        <w:ind w:left="-90"/>
        <w:rPr>
          <w:rFonts w:asciiTheme="minorHAnsi" w:hAnsiTheme="minorHAnsi"/>
          <w:sz w:val="22"/>
        </w:rPr>
      </w:pPr>
      <w:hyperlink r:id="rId11" w:history="1">
        <w:r w:rsidR="008036FA" w:rsidRPr="00DA5119">
          <w:rPr>
            <w:rStyle w:val="Hyperlink"/>
            <w:rFonts w:asciiTheme="minorHAnsi" w:hAnsiTheme="minorHAnsi"/>
            <w:sz w:val="22"/>
          </w:rPr>
          <w:t>http://themasites.pbl.nl/models/image/index.php/IMAGE_framework</w:t>
        </w:r>
      </w:hyperlink>
    </w:p>
    <w:p w14:paraId="3BBCD1B3" w14:textId="7CF0B88D" w:rsidR="008036FA" w:rsidRPr="00DA5119" w:rsidRDefault="008036FA" w:rsidP="00DA5119">
      <w:pPr>
        <w:pStyle w:val="Body"/>
        <w:ind w:left="-90"/>
        <w:rPr>
          <w:rFonts w:asciiTheme="minorHAnsi" w:hAnsiTheme="minorHAnsi"/>
        </w:rPr>
      </w:pPr>
      <w:r w:rsidRPr="00DA5119">
        <w:rPr>
          <w:rFonts w:asciiTheme="minorHAnsi" w:hAnsiTheme="minorHAnsi"/>
        </w:rPr>
        <w:t xml:space="preserve">IMAGE 3.0 is an integrated assessment modeling framework that simulates global and regional environmental consequences of changes in human activities </w:t>
      </w:r>
      <w:r w:rsidRPr="00DA5119">
        <w:rPr>
          <w:rFonts w:asciiTheme="minorHAnsi" w:hAnsiTheme="minorHAnsi"/>
        </w:rPr>
        <w:fldChar w:fldCharType="begin"/>
      </w:r>
      <w:r w:rsidRPr="00DA5119">
        <w:rPr>
          <w:rFonts w:asciiTheme="minorHAnsi" w:hAnsiTheme="minorHAnsi"/>
        </w:rPr>
        <w:instrText xml:space="preserve"> ADDIN EN.CITE &lt;EndNote&gt;&lt;Cite&gt;&lt;Author&gt;Stehfest&lt;/Author&gt;&lt;Year&gt;2014&lt;/Year&gt;&lt;RecNum&gt;274&lt;/RecNum&gt;&lt;DisplayText&gt;(Stehfest et al., 2014)&lt;/DisplayText&gt;&lt;record&gt;&lt;rec-number&gt;274&lt;/rec-number&gt;&lt;foreign-keys&gt;&lt;key app="EN" db-id="ewxvdw52e55r2gefrsovdxwk0xrz0v2zfp2s" timestamp="1449496398"&gt;274&lt;/key&gt;&lt;/foreign-keys&gt;&lt;ref-type name="Journal Article"&gt;17&lt;/ref-type&gt;&lt;contributors&gt;&lt;authors&gt;&lt;author&gt;Stehfest, E.&lt;/author&gt;&lt;author&gt;van Vuuren, D.P. &lt;/author&gt;&lt;author&gt;Kram, T.&lt;/author&gt;&lt;author&gt;Bouwman , A.F.&lt;/author&gt;&lt;author&gt;(eds.)&lt;/author&gt;&lt;/authors&gt;&lt;/contributors&gt;&lt;titles&gt;&lt;title&gt;&lt;style face="italic" font="default" size="100%"&gt;Integrated Assessment of Global Environmental Change with IMAGE 3.0. Model description and policy applications&lt;/style&gt;&lt;/title&gt;&lt;secondary-title&gt;The Hague: PBL Netherlands Environmental Assessment Agency&lt;/secondary-title&gt;&lt;/titles&gt;&lt;periodical&gt;&lt;full-title&gt;The Hague: PBL Netherlands Environmental Assessment Agency&lt;/full-title&gt;&lt;/periodical&gt;&lt;dates&gt;&lt;year&gt;2014&lt;/year&gt;&lt;/dates&gt;&lt;urls&gt;&lt;/urls&gt;&lt;/record&gt;&lt;/Cite&gt;&lt;/EndNote&gt;</w:instrText>
      </w:r>
      <w:r w:rsidRPr="00DA5119">
        <w:rPr>
          <w:rFonts w:asciiTheme="minorHAnsi" w:hAnsiTheme="minorHAnsi"/>
        </w:rPr>
        <w:fldChar w:fldCharType="separate"/>
      </w:r>
      <w:r w:rsidRPr="00DA5119">
        <w:rPr>
          <w:rFonts w:asciiTheme="minorHAnsi" w:hAnsiTheme="minorHAnsi"/>
        </w:rPr>
        <w:t>(</w:t>
      </w:r>
      <w:hyperlink w:anchor="_ENREF_38" w:tooltip="Stehfest, 2014 #274" w:history="1">
        <w:r w:rsidR="00884561" w:rsidRPr="00DA5119">
          <w:rPr>
            <w:rFonts w:asciiTheme="minorHAnsi" w:hAnsiTheme="minorHAnsi"/>
          </w:rPr>
          <w:t>Stehfest et al., 2014</w:t>
        </w:r>
      </w:hyperlink>
      <w:r w:rsidRPr="00DA5119">
        <w:rPr>
          <w:rFonts w:asciiTheme="minorHAnsi" w:hAnsiTheme="minorHAnsi"/>
        </w:rPr>
        <w:t>)</w:t>
      </w:r>
      <w:r w:rsidRPr="00DA5119">
        <w:rPr>
          <w:rFonts w:asciiTheme="minorHAnsi" w:hAnsiTheme="minorHAnsi"/>
        </w:rPr>
        <w:fldChar w:fldCharType="end"/>
      </w:r>
      <w:r w:rsidRPr="00DA5119">
        <w:rPr>
          <w:rFonts w:asciiTheme="minorHAnsi" w:hAnsiTheme="minorHAnsi"/>
        </w:rPr>
        <w:t xml:space="preserve">. The model is a simulation model, i.e. changes in model parameters are calculated on the basis of the information from the previous time-step. The model includes a detailed description of the energy and land-use system and simulates most of the socio-economic parameters for 26 regions and most of the environmental parameters on the basis of a geographical grid of 30 by 30 minutes or 5 by 5 minutes (depending on the variable). The IMAGE framework is comprises two main systems: 1) the human or socio-economic system that describes the long-term development of human activities relevant for sustainable development; and 2) the earth system that describes changes in natural systems, such as the carbon and hydrological cycle and climate. </w:t>
      </w:r>
    </w:p>
    <w:p w14:paraId="55C59FC9" w14:textId="345C08D0" w:rsidR="008036FA" w:rsidRPr="00DA5119" w:rsidRDefault="008036FA" w:rsidP="00DA5119">
      <w:pPr>
        <w:pStyle w:val="Body"/>
        <w:ind w:left="-90"/>
        <w:rPr>
          <w:rFonts w:asciiTheme="minorHAnsi" w:hAnsiTheme="minorHAnsi"/>
        </w:rPr>
      </w:pPr>
      <w:r w:rsidRPr="00DA5119">
        <w:rPr>
          <w:rFonts w:asciiTheme="minorHAnsi" w:hAnsiTheme="minorHAnsi"/>
        </w:rPr>
        <w:t xml:space="preserve">Exogenous assumptions on population, economic development, lifestyle, policies and technology change form a key input into the energy system model TIMER </w:t>
      </w:r>
      <w:r w:rsidRPr="00DA5119">
        <w:rPr>
          <w:rFonts w:asciiTheme="minorHAnsi" w:hAnsiTheme="minorHAnsi"/>
        </w:rPr>
        <w:fldChar w:fldCharType="begin"/>
      </w:r>
      <w:r w:rsidRPr="00DA5119">
        <w:rPr>
          <w:rFonts w:asciiTheme="minorHAnsi" w:hAnsiTheme="minorHAnsi"/>
        </w:rPr>
        <w:instrText xml:space="preserve"> ADDIN EN.CITE &lt;EndNote&gt;&lt;Cite&gt;&lt;Author&gt;De Vries&lt;/Author&gt;&lt;Year&gt;2001&lt;/Year&gt;&lt;RecNum&gt;370&lt;/RecNum&gt;&lt;DisplayText&gt;(De Vries et al., 2001; Van Vuuren et al., 2007)&lt;/DisplayText&gt;&lt;record&gt;&lt;rec-number&gt;370&lt;/rec-number&gt;&lt;foreign-keys&gt;&lt;key app="EN" db-id="ewxvdw52e55r2gefrsovdxwk0xrz0v2zfp2s" timestamp="1516801683"&gt;370&lt;/key&gt;&lt;/foreign-keys&gt;&lt;ref-type name="Journal Article"&gt;17&lt;/ref-type&gt;&lt;contributors&gt;&lt;authors&gt;&lt;author&gt;De Vries, H.J.M.&lt;/author&gt;&lt;author&gt;Van Vuuren D.P&lt;/author&gt;&lt;author&gt;Den Elzen, M. G. J.&lt;/author&gt;&lt;author&gt;Janssen, M. A. &lt;/author&gt;&lt;/authors&gt;&lt;/contributors&gt;&lt;titles&gt;&lt;title&gt;&lt;style face="normal" font="default" size="100%"&gt;The targets image energy model regional (TIMER) -Technical documentation. PBL Netherlands Environmental Assessment Agency (formerly MNP), Bilthoven/The Hague &lt;/style&gt;&lt;style face="underline" font="default" size="100%"&gt;www.pbl.nl/en&lt;/style&gt;&lt;style face="normal" font="default" size="100%"&gt;.&lt;/style&gt;&lt;/title&gt;&lt;/titles&gt;&lt;dates&gt;&lt;year&gt;2001&lt;/year&gt;&lt;/dates&gt;&lt;urls&gt;&lt;/urls&gt;&lt;/record&gt;&lt;/Cite&gt;&lt;Cite&gt;&lt;Author&gt;Van Vuuren&lt;/Author&gt;&lt;Year&gt;2007&lt;/Year&gt;&lt;RecNum&gt;371&lt;/RecNum&gt;&lt;record&gt;&lt;rec-number&gt;371&lt;/rec-number&gt;&lt;foreign-keys&gt;&lt;key app="EN" db-id="ewxvdw52e55r2gefrsovdxwk0xrz0v2zfp2s" timestamp="1516801911"&gt;371&lt;/key&gt;&lt;/foreign-keys&gt;&lt;ref-type name="Journal Article"&gt;17&lt;/ref-type&gt;&lt;contributors&gt;&lt;authors&gt;&lt;author&gt;Van Vuuren, D. P. &lt;/author&gt;&lt;author&gt;Michel G. J. den Elzen, &lt;/author&gt;&lt;author&gt;Paul L. Lucas, &lt;/author&gt;&lt;author&gt;Bas Eickhout, &lt;/author&gt;&lt;author&gt;Bart J. Strengers, &lt;/author&gt;&lt;author&gt;Bas van Ruijven, &lt;/author&gt;&lt;author&gt;Steven Wonink, &lt;/author&gt;&lt;author&gt;Roy van Houdt&lt;/author&gt;&lt;/authors&gt;&lt;/contributors&gt;&lt;titles&gt;&lt;title&gt;Stabilizing greenhouse gas concentrations at low levels: an assessment of reduction strategies and costs&lt;/title&gt;&lt;secondary-title&gt;Climatic Change&lt;/secondary-title&gt;&lt;/titles&gt;&lt;periodical&gt;&lt;full-title&gt;Climatic Change&lt;/full-title&gt;&lt;/periodical&gt;&lt;volume&gt;81&lt;/volume&gt;&lt;dates&gt;&lt;year&gt;2007&lt;/year&gt;&lt;/dates&gt;&lt;urls&gt;&lt;/urls&gt;&lt;/record&gt;&lt;/Cite&gt;&lt;/EndNote&gt;</w:instrText>
      </w:r>
      <w:r w:rsidRPr="00DA5119">
        <w:rPr>
          <w:rFonts w:asciiTheme="minorHAnsi" w:hAnsiTheme="minorHAnsi"/>
        </w:rPr>
        <w:fldChar w:fldCharType="separate"/>
      </w:r>
      <w:r w:rsidRPr="00DA5119">
        <w:rPr>
          <w:rFonts w:asciiTheme="minorHAnsi" w:hAnsiTheme="minorHAnsi"/>
        </w:rPr>
        <w:t>(</w:t>
      </w:r>
      <w:hyperlink w:anchor="_ENREF_6" w:tooltip="De Vries, 2001 #370" w:history="1">
        <w:r w:rsidR="00884561" w:rsidRPr="00DA5119">
          <w:rPr>
            <w:rFonts w:asciiTheme="minorHAnsi" w:hAnsiTheme="minorHAnsi"/>
          </w:rPr>
          <w:t>De Vries et al., 2001</w:t>
        </w:r>
      </w:hyperlink>
      <w:r w:rsidRPr="00DA5119">
        <w:rPr>
          <w:rFonts w:asciiTheme="minorHAnsi" w:hAnsiTheme="minorHAnsi"/>
        </w:rPr>
        <w:t xml:space="preserve">; </w:t>
      </w:r>
      <w:hyperlink w:anchor="_ENREF_49" w:tooltip="Van Vuuren, 2007 #371" w:history="1">
        <w:r w:rsidR="00884561" w:rsidRPr="00DA5119">
          <w:rPr>
            <w:rFonts w:asciiTheme="minorHAnsi" w:hAnsiTheme="minorHAnsi"/>
          </w:rPr>
          <w:t>Van Vuuren et al., 2007</w:t>
        </w:r>
      </w:hyperlink>
      <w:r w:rsidRPr="00DA5119">
        <w:rPr>
          <w:rFonts w:asciiTheme="minorHAnsi" w:hAnsiTheme="minorHAnsi"/>
        </w:rPr>
        <w:t>)</w:t>
      </w:r>
      <w:r w:rsidRPr="00DA5119">
        <w:rPr>
          <w:rFonts w:asciiTheme="minorHAnsi" w:hAnsiTheme="minorHAnsi"/>
        </w:rPr>
        <w:fldChar w:fldCharType="end"/>
      </w:r>
      <w:r w:rsidRPr="00DA5119">
        <w:rPr>
          <w:rFonts w:asciiTheme="minorHAnsi" w:hAnsiTheme="minorHAnsi"/>
        </w:rPr>
        <w:t xml:space="preserve"> and the food and agriculture system model MAGNET </w:t>
      </w:r>
      <w:r w:rsidRPr="00DA5119">
        <w:rPr>
          <w:rFonts w:asciiTheme="minorHAnsi" w:hAnsiTheme="minorHAnsi"/>
        </w:rPr>
        <w:fldChar w:fldCharType="begin"/>
      </w:r>
      <w:r w:rsidRPr="00DA5119">
        <w:rPr>
          <w:rFonts w:asciiTheme="minorHAnsi" w:hAnsiTheme="minorHAnsi"/>
        </w:rPr>
        <w:instrText xml:space="preserve"> ADDIN EN.CITE &lt;EndNote&gt;&lt;Cite&gt;&lt;Author&gt;Woltjer&lt;/Author&gt;&lt;Year&gt;2014&lt;/Year&gt;&lt;RecNum&gt;10237&lt;/RecNum&gt;&lt;DisplayText&gt;(Woltjer et al., 2014)&lt;/DisplayText&gt;&lt;record&gt;&lt;rec-number&gt;10237&lt;/rec-number&gt;&lt;foreign-keys&gt;&lt;key app="EN" db-id="5e5tz05su559xyep9ahv2pfmzd020ftae9zs"&gt;10237&lt;/key&gt;&lt;/foreign-keys&gt;&lt;ref-type name="Report"&gt;27&lt;/ref-type&gt;&lt;contributors&gt;&lt;authors&gt;&lt;author&gt;Woltjer, G.B.&lt;/author&gt;&lt;author&gt;Kuiper, M. &lt;/author&gt;&lt;author&gt;Kavallari, A. &lt;/author&gt;&lt;author&gt;van Meijl, H. &lt;/author&gt;&lt;author&gt;Powell, J. &lt;/author&gt;&lt;author&gt;Rutten, M. &lt;/author&gt;&lt;author&gt;Shutes, L.&lt;/author&gt;&lt;author&gt;Tabeau, A.&lt;/author&gt;&lt;/authors&gt;&lt;/contributors&gt;&lt;titles&gt;&lt;title&gt;The Magnet Model - Module description&lt;/title&gt;&lt;/titles&gt;&lt;dates&gt;&lt;year&gt;2014&lt;/year&gt;&lt;/dates&gt;&lt;pub-location&gt;The Hague&lt;/pub-location&gt;&lt;publisher&gt;LEI - part of Wageningen University and Research Centre&lt;/publisher&gt;&lt;urls&gt;&lt;/urls&gt;&lt;/record&gt;&lt;/Cite&gt;&lt;/EndNote&gt;</w:instrText>
      </w:r>
      <w:r w:rsidRPr="00DA5119">
        <w:rPr>
          <w:rFonts w:asciiTheme="minorHAnsi" w:hAnsiTheme="minorHAnsi"/>
        </w:rPr>
        <w:fldChar w:fldCharType="separate"/>
      </w:r>
      <w:r w:rsidRPr="00DA5119">
        <w:rPr>
          <w:rFonts w:asciiTheme="minorHAnsi" w:hAnsiTheme="minorHAnsi"/>
        </w:rPr>
        <w:t>(</w:t>
      </w:r>
      <w:hyperlink w:anchor="_ENREF_55" w:tooltip="Woltjer, 2014 #10237" w:history="1">
        <w:r w:rsidR="00884561" w:rsidRPr="00DA5119">
          <w:rPr>
            <w:rFonts w:asciiTheme="minorHAnsi" w:hAnsiTheme="minorHAnsi"/>
          </w:rPr>
          <w:t>Woltjer et al., 2014</w:t>
        </w:r>
      </w:hyperlink>
      <w:r w:rsidRPr="00DA5119">
        <w:rPr>
          <w:rFonts w:asciiTheme="minorHAnsi" w:hAnsiTheme="minorHAnsi"/>
        </w:rPr>
        <w:t>)</w:t>
      </w:r>
      <w:r w:rsidRPr="00DA5119">
        <w:rPr>
          <w:rFonts w:asciiTheme="minorHAnsi" w:hAnsiTheme="minorHAnsi"/>
        </w:rPr>
        <w:fldChar w:fldCharType="end"/>
      </w:r>
      <w:r w:rsidRPr="00DA5119">
        <w:rPr>
          <w:rFonts w:asciiTheme="minorHAnsi" w:hAnsiTheme="minorHAnsi"/>
        </w:rPr>
        <w:t xml:space="preserve">. </w:t>
      </w:r>
    </w:p>
    <w:p w14:paraId="198FC11B" w14:textId="77777777" w:rsidR="008036FA" w:rsidRPr="00DA5119" w:rsidRDefault="008036FA" w:rsidP="00DA5119">
      <w:pPr>
        <w:pStyle w:val="Body"/>
        <w:ind w:left="-90"/>
        <w:rPr>
          <w:rFonts w:asciiTheme="minorHAnsi" w:hAnsiTheme="minorHAnsi"/>
          <w:lang w:val="en"/>
        </w:rPr>
      </w:pPr>
      <w:r w:rsidRPr="00DA5119">
        <w:rPr>
          <w:rFonts w:asciiTheme="minorHAnsi" w:hAnsiTheme="minorHAnsi"/>
          <w:lang w:val="en"/>
        </w:rPr>
        <w:t xml:space="preserve">TIMER simulates long-term trends in energy use, issues related to depletion, energy-related greenhouse gas and other air polluting emissions, together with land-use demand for energy crops. The focus is on dynamic relationships in the energy system, such as inertia and learning-by-doing in capital stocks, depletion of the resource base and trade between regions. As a simulation model, TIMER differs from most macroeconomic models, which let the system evolve on the basis of minimizing cost or maximizing utility under boundary conditions. As such, TIMER can be compared to energy simulation models, such as POLES and GCAM. </w:t>
      </w:r>
    </w:p>
    <w:p w14:paraId="3AEFEF8B" w14:textId="77777777" w:rsidR="008036FA" w:rsidRPr="00DA5119" w:rsidRDefault="008036FA" w:rsidP="00DA5119">
      <w:pPr>
        <w:pStyle w:val="Body"/>
        <w:ind w:left="-90"/>
        <w:rPr>
          <w:rFonts w:asciiTheme="minorHAnsi" w:hAnsiTheme="minorHAnsi"/>
          <w:lang w:val="en"/>
        </w:rPr>
      </w:pPr>
      <w:r w:rsidRPr="00DA5119">
        <w:rPr>
          <w:rFonts w:asciiTheme="minorHAnsi" w:hAnsiTheme="minorHAnsi"/>
        </w:rPr>
        <w:t xml:space="preserve">MAGNET describes, in interaction with the main IMAGE framework, changes in food production and trade for a broad set of crops and animal products. </w:t>
      </w:r>
      <w:r w:rsidRPr="00DA5119">
        <w:rPr>
          <w:rFonts w:asciiTheme="minorHAnsi" w:hAnsiTheme="minorHAnsi"/>
          <w:lang w:val="en"/>
        </w:rPr>
        <w:t>The model is is a multi-regional, static, applied CGE model based on neoclassical microeconomic theory.</w:t>
      </w:r>
    </w:p>
    <w:p w14:paraId="21C56CF5" w14:textId="77777777" w:rsidR="008036FA" w:rsidRPr="00DA5119" w:rsidRDefault="008036FA" w:rsidP="00DA5119">
      <w:pPr>
        <w:pStyle w:val="Body"/>
        <w:ind w:left="-90"/>
        <w:rPr>
          <w:rFonts w:asciiTheme="minorHAnsi" w:hAnsiTheme="minorHAnsi"/>
        </w:rPr>
      </w:pPr>
      <w:r w:rsidRPr="00DA5119">
        <w:rPr>
          <w:rFonts w:asciiTheme="minorHAnsi" w:hAnsiTheme="minorHAnsi"/>
        </w:rPr>
        <w:t xml:space="preserve">A key component of the earth system is the LPJmL model that is included in IMAGE 3.0, and that covers the terrestrial carbon cycle and vegetation dynamics. This model is used to determine productivity at grid cell level for natural and cultivated ecosystems. Climatic change is calculated as global mean temperature change using a slightly adapted version of the MAGICC 6.3 climate model. </w:t>
      </w:r>
    </w:p>
    <w:p w14:paraId="3C283230" w14:textId="77777777" w:rsidR="00442DBA" w:rsidRPr="00DA5119" w:rsidRDefault="00442DBA" w:rsidP="00DA5119">
      <w:pPr>
        <w:pStyle w:val="Body"/>
        <w:ind w:left="-90"/>
        <w:rPr>
          <w:rFonts w:asciiTheme="minorHAnsi" w:hAnsiTheme="minorHAnsi"/>
          <w:b/>
        </w:rPr>
      </w:pPr>
    </w:p>
    <w:p w14:paraId="3E2A6FFC" w14:textId="77777777" w:rsidR="00442DBA" w:rsidRPr="00DA5119" w:rsidRDefault="00442DBA" w:rsidP="00DA5119">
      <w:pPr>
        <w:pStyle w:val="Body"/>
        <w:ind w:left="-90"/>
        <w:rPr>
          <w:rFonts w:asciiTheme="minorHAnsi" w:hAnsiTheme="minorHAnsi"/>
          <w:b/>
        </w:rPr>
      </w:pPr>
    </w:p>
    <w:p w14:paraId="2EBB10E2" w14:textId="77777777" w:rsidR="00442DBA" w:rsidRPr="00DA5119" w:rsidRDefault="00442DBA" w:rsidP="00DA5119">
      <w:pPr>
        <w:pStyle w:val="Body"/>
        <w:ind w:left="-90"/>
        <w:rPr>
          <w:rFonts w:asciiTheme="minorHAnsi" w:hAnsiTheme="minorHAnsi"/>
          <w:b/>
        </w:rPr>
      </w:pPr>
    </w:p>
    <w:p w14:paraId="2DF1B518" w14:textId="0A064CC0" w:rsidR="008036FA" w:rsidRPr="00DA5119" w:rsidRDefault="008036FA" w:rsidP="00DA5119">
      <w:pPr>
        <w:pStyle w:val="Body"/>
        <w:ind w:left="-90"/>
        <w:rPr>
          <w:rFonts w:asciiTheme="minorHAnsi" w:hAnsiTheme="minorHAnsi"/>
          <w:b/>
        </w:rPr>
      </w:pPr>
      <w:r w:rsidRPr="00DA5119">
        <w:rPr>
          <w:rFonts w:asciiTheme="minorHAnsi" w:hAnsiTheme="minorHAnsi"/>
          <w:b/>
        </w:rPr>
        <w:lastRenderedPageBreak/>
        <w:t>IMAGE version for EMF-30</w:t>
      </w:r>
    </w:p>
    <w:p w14:paraId="2CBD1523" w14:textId="165C0146" w:rsidR="008036FA" w:rsidRPr="00DA5119" w:rsidRDefault="008036FA" w:rsidP="00DA5119">
      <w:pPr>
        <w:pStyle w:val="Body"/>
        <w:ind w:left="-90"/>
        <w:rPr>
          <w:rFonts w:asciiTheme="minorHAnsi" w:hAnsiTheme="minorHAnsi"/>
        </w:rPr>
      </w:pPr>
      <w:r w:rsidRPr="00DA5119">
        <w:rPr>
          <w:rFonts w:asciiTheme="minorHAnsi" w:hAnsiTheme="minorHAnsi"/>
        </w:rPr>
        <w:t xml:space="preserve">The IMAGE version used in EMF30 is based on the version used in the development of the shared socio-economic pathways (SSPs) </w:t>
      </w:r>
      <w:r w:rsidRPr="00DA5119">
        <w:rPr>
          <w:rFonts w:asciiTheme="minorHAnsi" w:hAnsiTheme="minorHAnsi"/>
        </w:rPr>
        <w:fldChar w:fldCharType="begin">
          <w:fldData xml:space="preserve">PEVuZE5vdGU+PENpdGU+PEF1dGhvcj5WYW4gVnV1cmVuPC9BdXRob3I+PFllYXI+MjAxNzwvWWVh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</w:fldData>
        </w:fldChar>
      </w:r>
      <w:r w:rsidRPr="00DA5119">
        <w:rPr>
          <w:rFonts w:asciiTheme="minorHAnsi" w:hAnsiTheme="minorHAnsi"/>
        </w:rPr>
        <w:instrText xml:space="preserve"> ADDIN EN.CITE </w:instrText>
      </w:r>
      <w:r w:rsidRPr="00DA5119">
        <w:rPr>
          <w:rFonts w:asciiTheme="minorHAnsi" w:hAnsiTheme="minorHAnsi"/>
        </w:rPr>
        <w:fldChar w:fldCharType="begin">
          <w:fldData xml:space="preserve">PEVuZE5vdGU+PENpdGU+PEF1dGhvcj5WYW4gVnV1cmVuPC9BdXRob3I+PFllYXI+MjAxNzwvWWVh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</w:fldData>
        </w:fldChar>
      </w:r>
      <w:r w:rsidRPr="00DA5119">
        <w:rPr>
          <w:rFonts w:asciiTheme="minorHAnsi" w:hAnsiTheme="minorHAnsi"/>
        </w:rPr>
        <w:instrText xml:space="preserve"> ADDIN EN.CITE.DATA </w:instrText>
      </w:r>
      <w:r w:rsidRPr="00DA5119">
        <w:rPr>
          <w:rFonts w:asciiTheme="minorHAnsi" w:hAnsiTheme="minorHAnsi"/>
        </w:rPr>
      </w:r>
      <w:r w:rsidRPr="00DA5119">
        <w:rPr>
          <w:rFonts w:asciiTheme="minorHAnsi" w:hAnsiTheme="minorHAnsi"/>
        </w:rPr>
        <w:fldChar w:fldCharType="end"/>
      </w:r>
      <w:r w:rsidRPr="00DA5119">
        <w:rPr>
          <w:rFonts w:asciiTheme="minorHAnsi" w:hAnsiTheme="minorHAnsi"/>
        </w:rPr>
      </w:r>
      <w:r w:rsidRPr="00DA5119">
        <w:rPr>
          <w:rFonts w:asciiTheme="minorHAnsi" w:hAnsiTheme="minorHAnsi"/>
        </w:rPr>
        <w:fldChar w:fldCharType="separate"/>
      </w:r>
      <w:r w:rsidRPr="00DA5119">
        <w:rPr>
          <w:rFonts w:asciiTheme="minorHAnsi" w:hAnsiTheme="minorHAnsi"/>
        </w:rPr>
        <w:t>(</w:t>
      </w:r>
      <w:hyperlink w:anchor="_ENREF_29" w:tooltip="Riahi, 2017 #298" w:history="1">
        <w:r w:rsidR="00884561" w:rsidRPr="00DA5119">
          <w:rPr>
            <w:rFonts w:asciiTheme="minorHAnsi" w:hAnsiTheme="minorHAnsi"/>
          </w:rPr>
          <w:t>Riahi et al., 2017</w:t>
        </w:r>
      </w:hyperlink>
      <w:r w:rsidRPr="00DA5119">
        <w:rPr>
          <w:rFonts w:asciiTheme="minorHAnsi" w:hAnsiTheme="minorHAnsi"/>
        </w:rPr>
        <w:t xml:space="preserve">; </w:t>
      </w:r>
      <w:hyperlink w:anchor="_ENREF_50" w:tooltip="Van Vuuren, 2017 #372" w:history="1">
        <w:r w:rsidR="00884561" w:rsidRPr="00DA5119">
          <w:rPr>
            <w:rFonts w:asciiTheme="minorHAnsi" w:hAnsiTheme="minorHAnsi"/>
          </w:rPr>
          <w:t>Van Vuuren et al., 2017</w:t>
        </w:r>
      </w:hyperlink>
      <w:r w:rsidRPr="00DA5119">
        <w:rPr>
          <w:rFonts w:asciiTheme="minorHAnsi" w:hAnsiTheme="minorHAnsi"/>
        </w:rPr>
        <w:t>)</w:t>
      </w:r>
      <w:r w:rsidRPr="00DA5119">
        <w:rPr>
          <w:rFonts w:asciiTheme="minorHAnsi" w:hAnsiTheme="minorHAnsi"/>
        </w:rPr>
        <w:fldChar w:fldCharType="end"/>
      </w:r>
      <w:r w:rsidRPr="00DA5119">
        <w:rPr>
          <w:rFonts w:asciiTheme="minorHAnsi" w:hAnsiTheme="minorHAnsi"/>
        </w:rPr>
        <w:t xml:space="preserve">. The EMF30 scenarios follow assumptions as defined for the middle-of-the-road trajectory of SSP2. </w:t>
      </w:r>
    </w:p>
    <w:p w14:paraId="6CE0BB20" w14:textId="77777777" w:rsidR="008036FA" w:rsidRPr="00DA5119" w:rsidRDefault="008036FA" w:rsidP="00DA5119">
      <w:pPr>
        <w:pStyle w:val="ReferenceHeader"/>
        <w:keepNext/>
        <w:ind w:left="-90"/>
        <w:rPr>
          <w:rFonts w:asciiTheme="minorHAnsi" w:hAnsiTheme="minorHAnsi"/>
          <w:lang w:val="nl-NL"/>
        </w:rPr>
      </w:pPr>
      <w:r w:rsidRPr="00DA5119">
        <w:rPr>
          <w:rFonts w:asciiTheme="minorHAnsi" w:hAnsiTheme="minorHAnsi"/>
          <w:lang w:val="nl-NL"/>
        </w:rPr>
        <w:t>References</w:t>
      </w:r>
    </w:p>
    <w:p w14:paraId="0477AB8C" w14:textId="77777777" w:rsidR="008036FA" w:rsidRPr="00DA5119" w:rsidRDefault="008036FA" w:rsidP="00DA5119">
      <w:pPr>
        <w:pStyle w:val="References"/>
        <w:ind w:left="-90"/>
        <w:rPr>
          <w:rFonts w:asciiTheme="minorHAnsi" w:hAnsiTheme="minorHAnsi"/>
        </w:rPr>
      </w:pPr>
      <w:r w:rsidRPr="00DA5119">
        <w:rPr>
          <w:rFonts w:asciiTheme="minorHAnsi" w:hAnsiTheme="minorHAnsi"/>
        </w:rPr>
        <w:fldChar w:fldCharType="begin"/>
      </w:r>
      <w:r w:rsidRPr="00DA5119">
        <w:rPr>
          <w:rFonts w:asciiTheme="minorHAnsi" w:hAnsiTheme="minorHAnsi"/>
          <w:lang w:val="nl-NL"/>
        </w:rPr>
        <w:instrText xml:space="preserve"> ADDIN EN.REFLIST </w:instrText>
      </w:r>
      <w:r w:rsidRPr="00DA5119">
        <w:rPr>
          <w:rFonts w:asciiTheme="minorHAnsi" w:hAnsiTheme="minorHAnsi"/>
        </w:rPr>
        <w:fldChar w:fldCharType="separate"/>
      </w:r>
      <w:r w:rsidRPr="00DA5119">
        <w:rPr>
          <w:rFonts w:asciiTheme="minorHAnsi" w:hAnsiTheme="minorHAnsi"/>
          <w:lang w:val="nl-NL"/>
        </w:rPr>
        <w:t xml:space="preserve">De Vries HJM, et al. </w:t>
      </w:r>
      <w:r w:rsidRPr="00DA5119">
        <w:rPr>
          <w:rFonts w:asciiTheme="minorHAnsi" w:hAnsiTheme="minorHAnsi"/>
        </w:rPr>
        <w:t xml:space="preserve">(2001) The targets image energy model regional (TIMER) -Technical documentation. PBL Netherlands Environmental Assessment Agency (formerly MNP), Bilthoven/The Hague </w:t>
      </w:r>
      <w:hyperlink r:id="rId12" w:history="1">
        <w:r w:rsidRPr="00DA5119">
          <w:rPr>
            <w:rStyle w:val="Hyperlink"/>
            <w:rFonts w:asciiTheme="minorHAnsi" w:hAnsiTheme="minorHAnsi"/>
          </w:rPr>
          <w:t>www.pbl.nl/en</w:t>
        </w:r>
      </w:hyperlink>
      <w:r w:rsidRPr="00DA5119">
        <w:rPr>
          <w:rFonts w:asciiTheme="minorHAnsi" w:hAnsiTheme="minorHAnsi"/>
        </w:rPr>
        <w:t>.</w:t>
      </w:r>
    </w:p>
    <w:p w14:paraId="7DFCC324"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Riahi K, et al. (2017) The Shared Socioeconomic Pathways and their energy, land use, and greenhouse gas emissions implications: An overview. Global Environmental Change.</w:t>
      </w:r>
    </w:p>
    <w:p w14:paraId="64D73F80"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 xml:space="preserve">Stehfest E, et al. (2014) </w:t>
      </w:r>
      <w:r w:rsidRPr="00DA5119">
        <w:rPr>
          <w:rFonts w:asciiTheme="minorHAnsi" w:hAnsiTheme="minorHAnsi"/>
          <w:i/>
        </w:rPr>
        <w:t>Integrated Assessment of Global Environmental Change with IMAGE 3.0. Model description and policy applications</w:t>
      </w:r>
      <w:r w:rsidRPr="00DA5119">
        <w:rPr>
          <w:rFonts w:asciiTheme="minorHAnsi" w:hAnsiTheme="minorHAnsi"/>
        </w:rPr>
        <w:t>. The Hague: PBL Netherlands Environmental Assessment Agency.</w:t>
      </w:r>
    </w:p>
    <w:p w14:paraId="30AC026B" w14:textId="77777777" w:rsidR="008036FA" w:rsidRPr="00DA5119" w:rsidRDefault="008036FA" w:rsidP="00DA5119">
      <w:pPr>
        <w:pStyle w:val="References"/>
        <w:ind w:left="-90"/>
        <w:rPr>
          <w:rFonts w:asciiTheme="minorHAnsi" w:hAnsiTheme="minorHAnsi"/>
        </w:rPr>
      </w:pPr>
      <w:r w:rsidRPr="00DA5119">
        <w:rPr>
          <w:rFonts w:asciiTheme="minorHAnsi" w:hAnsiTheme="minorHAnsi"/>
          <w:lang w:val="nl-NL"/>
        </w:rPr>
        <w:t xml:space="preserve">Van Vuuren DP, et al. </w:t>
      </w:r>
      <w:r w:rsidRPr="00DA5119">
        <w:rPr>
          <w:rFonts w:asciiTheme="minorHAnsi" w:hAnsiTheme="minorHAnsi"/>
        </w:rPr>
        <w:t>(2007) Stabilizing greenhouse gas concentrations at low levels: an assessment of reduction strategies and costs. Climatic Change 81.</w:t>
      </w:r>
    </w:p>
    <w:p w14:paraId="51E59272"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Van Vuuren DP, et al. (2017) Energy, land-use and greenhouse gas emissions trajectories under a green growth paradigm. Global Environmental Change 42:237-250.</w:t>
      </w:r>
    </w:p>
    <w:p w14:paraId="6F2FF581"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Woltjer GB, et al. (2014) The Magnet Model - Module description. LEI - part of Wageningen University and Research Centre, The Hague.</w:t>
      </w:r>
    </w:p>
    <w:p w14:paraId="67E0D9E2" w14:textId="77777777" w:rsidR="00442DBA" w:rsidRPr="00DA5119" w:rsidRDefault="008036FA" w:rsidP="00DA5119">
      <w:r w:rsidRPr="00DA5119">
        <w:fldChar w:fldCharType="end"/>
      </w:r>
    </w:p>
    <w:p w14:paraId="1DEA4AC1" w14:textId="2C021B5F" w:rsidR="008036FA" w:rsidRPr="00DA5119" w:rsidRDefault="008036FA" w:rsidP="00DA5119">
      <w:pPr>
        <w:pStyle w:val="Heading5"/>
        <w:rPr>
          <w:rFonts w:asciiTheme="minorHAnsi" w:hAnsiTheme="minorHAnsi"/>
        </w:rPr>
      </w:pPr>
      <w:r w:rsidRPr="00DA5119">
        <w:rPr>
          <w:rFonts w:asciiTheme="minorHAnsi" w:hAnsiTheme="minorHAnsi"/>
        </w:rPr>
        <w:t>MESSAGE-GLOBIOM</w:t>
      </w:r>
    </w:p>
    <w:p w14:paraId="40428F60" w14:textId="77777777" w:rsidR="008036FA" w:rsidRPr="00DA5119" w:rsidRDefault="008036FA" w:rsidP="00DA5119">
      <w:pPr>
        <w:pStyle w:val="Body"/>
        <w:ind w:left="-90"/>
        <w:rPr>
          <w:rFonts w:asciiTheme="minorHAnsi" w:hAnsiTheme="minorHAnsi"/>
        </w:rPr>
      </w:pPr>
      <w:r w:rsidRPr="00DA5119">
        <w:rPr>
          <w:rFonts w:asciiTheme="minorHAnsi" w:hAnsiTheme="minorHAnsi"/>
        </w:rPr>
        <w:t xml:space="preserve">MESSAGE-GLOBIOM 1.0 integrates the energy engineering model MESSAGE with the land-use model GLOBIOM via soft-linkage into a global integrated assessment modeling framework (Krey et al., 2016; Fricko et al., 2017). On-line model documentation is available at: </w:t>
      </w:r>
      <w:hyperlink r:id="rId13" w:history="1">
        <w:r w:rsidRPr="00DA5119">
          <w:rPr>
            <w:rStyle w:val="Hyperlink"/>
            <w:rFonts w:asciiTheme="minorHAnsi" w:hAnsiTheme="minorHAnsi"/>
          </w:rPr>
          <w:t>http://data.ene.iiasa.ac.at/message-globiom</w:t>
        </w:r>
      </w:hyperlink>
      <w:r w:rsidRPr="00DA5119">
        <w:rPr>
          <w:rFonts w:asciiTheme="minorHAnsi" w:hAnsiTheme="minorHAnsi"/>
        </w:rPr>
        <w:t xml:space="preserve"> (Krey et al., 2016).</w:t>
      </w:r>
    </w:p>
    <w:p w14:paraId="548337BB" w14:textId="77777777" w:rsidR="008036FA" w:rsidRPr="00DA5119" w:rsidRDefault="008036FA" w:rsidP="00DA5119">
      <w:pPr>
        <w:pStyle w:val="Body"/>
        <w:ind w:left="-90"/>
        <w:rPr>
          <w:rFonts w:asciiTheme="minorHAnsi" w:hAnsiTheme="minorHAnsi"/>
        </w:rPr>
      </w:pPr>
      <w:r w:rsidRPr="00DA5119">
        <w:rPr>
          <w:rFonts w:asciiTheme="minorHAnsi" w:hAnsiTheme="minorHAnsi"/>
        </w:rPr>
        <w:t>MESSAGE (Model for Energy Supply Strategy Alternatives and their General Environmental Impact) is a linear programming (LP) energy engineering model with global coverage (Riahi et al., 2007; Riahi et al., 2012; Messner and Strubegger, 1995). As a systems engineering optimization model, MESSAGE is primarily used for medium- to long-term energy system planning, energy policy analysis, and scenario development. The model provides a framework for representing an energy system with all its interdependencies from resource extraction, imports and exports, conversion, transport, and distribution, to the provision of energy end-use services such as light, space conditioning, industrial production processes, and transportation. To assess economic implications and to capture economic feedbacks of climate and energy policies, MESSAGE is linked to the aggregated macro-economic model MACRO (Messner and Schrattenholzer, 2000).</w:t>
      </w:r>
    </w:p>
    <w:p w14:paraId="48FDE350" w14:textId="77777777" w:rsidR="008036FA" w:rsidRPr="00DA5119" w:rsidRDefault="008036FA" w:rsidP="00DA5119">
      <w:pPr>
        <w:pStyle w:val="Body"/>
        <w:ind w:left="-90"/>
        <w:rPr>
          <w:rFonts w:asciiTheme="minorHAnsi" w:hAnsiTheme="minorHAnsi"/>
        </w:rPr>
      </w:pPr>
      <w:r w:rsidRPr="00DA5119">
        <w:rPr>
          <w:rFonts w:asciiTheme="minorHAnsi" w:hAnsiTheme="minorHAnsi"/>
        </w:rPr>
        <w:t xml:space="preserve">Land-use dynamics are modeled with the GLOBIOM (GLobal BIOsphere Management) model, which is a partial-equilibrium model (Havlik et al., 2011; Havlik et al., 2014). GLOBIOM represents the competition between different land-use based activities. It includes a detailed representation of the agricultural, forestry and bio-energy sector, which allows for the inclusion of detailed grid-cell information on biophysical constraints and technological costs, as well as a rich set of environmental parameters, incl. comprehensive AFOLU (agriculture, forestry and other land use) GHG emission accounts and irrigation water use. For spatially explicit projections of the change in afforestation, deforestation, forest management, and their related CO2 emissions, GLOBIOM is coupled with the G4M (Global FORest Model) model (Kindermann et al., 2006; Gusti, 2010). As outputs, G4M provides estimates of forest area change, carbon uptake and release by forests, and supply of biomass for bioenergy and timber. </w:t>
      </w:r>
    </w:p>
    <w:p w14:paraId="4F0660DC" w14:textId="77777777" w:rsidR="008036FA" w:rsidRPr="00DA5119" w:rsidRDefault="008036FA" w:rsidP="00DA5119">
      <w:pPr>
        <w:pStyle w:val="Body"/>
        <w:ind w:left="-90"/>
        <w:rPr>
          <w:rFonts w:asciiTheme="minorHAnsi" w:hAnsiTheme="minorHAnsi"/>
        </w:rPr>
      </w:pPr>
      <w:r w:rsidRPr="00DA5119">
        <w:rPr>
          <w:rFonts w:asciiTheme="minorHAnsi" w:hAnsiTheme="minorHAnsi"/>
        </w:rPr>
        <w:t xml:space="preserve">MESSAGE-GLOBIOM covers all greenhouse gas (GHG)-emitting sectors, including energy, industrial processes as well as agriculture and forestry. The emissions of the full basket of </w:t>
      </w:r>
      <w:r w:rsidRPr="00DA5119">
        <w:rPr>
          <w:rFonts w:asciiTheme="minorHAnsi" w:hAnsiTheme="minorHAnsi"/>
        </w:rPr>
        <w:lastRenderedPageBreak/>
        <w:t>greenhouse gases including CO2, CH4, N2O and F-gases (CF4, C2F6, HFC125, HFC134a, HFC143a, HFC227ea, HFC245ca and SF6) as well as other radiatively active substances, such as NOx, volatile organic compounds (VOCs), CO, SO2, and BC/OC is represented in the model. Air pollution implications of the energy system are accounted for in MESSAGE by applying technology-specific air pollution coefficients from GAINS (Amann et al., 2011; Rao et al., 2013). MESSAGE-GLOBIOM is used in conjunction with MAGICC (Model for Greenhouse gas Induced Climate Change) version 6.8 (Meinshausen et al., 2011) for calculating atmospheric concentrations, radiative forcing, and annual-mean global surface air temperature increase.</w:t>
      </w:r>
    </w:p>
    <w:p w14:paraId="42BEA7DF" w14:textId="77777777" w:rsidR="008036FA" w:rsidRPr="00DA5119" w:rsidRDefault="008036FA" w:rsidP="00DA5119">
      <w:pPr>
        <w:pStyle w:val="Body"/>
        <w:ind w:left="-90"/>
        <w:rPr>
          <w:rFonts w:asciiTheme="minorHAnsi" w:hAnsiTheme="minorHAnsi"/>
          <w:b/>
        </w:rPr>
      </w:pPr>
      <w:r w:rsidRPr="00DA5119">
        <w:rPr>
          <w:rFonts w:asciiTheme="minorHAnsi" w:hAnsiTheme="minorHAnsi"/>
          <w:b/>
        </w:rPr>
        <w:t>MESSAGE implementation for EMF-30</w:t>
      </w:r>
    </w:p>
    <w:p w14:paraId="273AE896" w14:textId="77777777" w:rsidR="008036FA" w:rsidRPr="00DA5119" w:rsidRDefault="008036FA" w:rsidP="00DA5119">
      <w:pPr>
        <w:pStyle w:val="Body"/>
        <w:ind w:left="-90"/>
        <w:rPr>
          <w:rFonts w:asciiTheme="minorHAnsi" w:hAnsiTheme="minorHAnsi"/>
        </w:rPr>
      </w:pPr>
      <w:r w:rsidRPr="00DA5119">
        <w:rPr>
          <w:rFonts w:asciiTheme="minorHAnsi" w:hAnsiTheme="minorHAnsi"/>
        </w:rPr>
        <w:t>Due to the way in which the landuse model (GLOBIOM) is coupled to MESSAGE, reductions in CH4 will automatically result in decreased CO2 and N2O emissions from landuse. This is because the underlying landuse scenarios used for this exercise are based on the SSPs, for which landuse emission mitigation scenarios were derived by applying a carbon price on all landuse GHGs as opposed to just CH4. A set of landuse scenarios based solely on the application of prices on CH4 only was not available for use in this study. Because of this the EMF-30 CH4-only and SLCF scenarios likely do not reflect the full near-term reduction in land-use related CH4 emissions, which includes the agricultural. Also, this set-up results in net reductions in land-use related CO2 emissions in these same scenarios that might not occur if only a CH4 price were applied to the land-use sector.</w:t>
      </w:r>
    </w:p>
    <w:p w14:paraId="19F97C6A" w14:textId="77777777" w:rsidR="008036FA" w:rsidRPr="00DA5119" w:rsidRDefault="008036FA" w:rsidP="00DA5119">
      <w:pPr>
        <w:pStyle w:val="ReferenceHeader"/>
        <w:keepNext/>
        <w:ind w:left="-90"/>
        <w:rPr>
          <w:rFonts w:asciiTheme="minorHAnsi" w:hAnsiTheme="minorHAnsi"/>
        </w:rPr>
      </w:pPr>
      <w:r w:rsidRPr="00DA5119">
        <w:rPr>
          <w:rFonts w:asciiTheme="minorHAnsi" w:hAnsiTheme="minorHAnsi"/>
        </w:rPr>
        <w:t>References</w:t>
      </w:r>
    </w:p>
    <w:p w14:paraId="1326B1A6"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 xml:space="preserve">Amann, M., Bertok, I., Borken-Kleefeld, J., Cofala, J., Heyes, C., Hoglund-Isaksson, L., Klimont, Z., Nguyen, B., Posch, M., Rafaj, P., Sandler, R., Schopp, W., Wagner, F. &amp; Winiwarter, W. 2011. Cost-effective control of air quality and greenhouse gases in Europe: Modeling and policy applications. </w:t>
      </w:r>
      <w:r w:rsidRPr="00DA5119">
        <w:rPr>
          <w:rFonts w:asciiTheme="minorHAnsi" w:hAnsiTheme="minorHAnsi"/>
          <w:i/>
          <w:iCs/>
        </w:rPr>
        <w:t>Environmental Modelling &amp; Software,</w:t>
      </w:r>
      <w:r w:rsidRPr="00DA5119">
        <w:rPr>
          <w:rFonts w:asciiTheme="minorHAnsi" w:hAnsiTheme="minorHAnsi"/>
        </w:rPr>
        <w:t xml:space="preserve"> 26</w:t>
      </w:r>
      <w:r w:rsidRPr="00DA5119">
        <w:rPr>
          <w:rFonts w:asciiTheme="minorHAnsi" w:hAnsiTheme="minorHAnsi"/>
          <w:b/>
          <w:bCs/>
        </w:rPr>
        <w:t>,</w:t>
      </w:r>
      <w:r w:rsidRPr="00DA5119">
        <w:rPr>
          <w:rFonts w:asciiTheme="minorHAnsi" w:hAnsiTheme="minorHAnsi"/>
        </w:rPr>
        <w:t xml:space="preserve"> 1489-1501.</w:t>
      </w:r>
    </w:p>
    <w:p w14:paraId="4E79D730"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 xml:space="preserve">Fricko, O., Havlik, P., Rogelj, J., Klimont, Z., Gusti, M., Johnson, N., Kolp, P., Strubegger, M., Valin, H., Amann, M., Ermolieva, T., Forsell, N., Herrero, M., Heyes, C., Kindermann, G., Krey, V., Mccollum, D. L., Obersteiner, M., Pachauri, S., Rao, S., Schmid, E., Schoepp, W. &amp; Riahi, K. 2017. The marker quantification of the Shared Socioeconomic Pathway 2: A middle-of-the-road scenario for the 21st century. </w:t>
      </w:r>
      <w:r w:rsidRPr="00DA5119">
        <w:rPr>
          <w:rFonts w:asciiTheme="minorHAnsi" w:hAnsiTheme="minorHAnsi"/>
          <w:i/>
          <w:iCs/>
        </w:rPr>
        <w:t>Global Environmental Change,</w:t>
      </w:r>
      <w:r w:rsidRPr="00DA5119">
        <w:rPr>
          <w:rFonts w:asciiTheme="minorHAnsi" w:hAnsiTheme="minorHAnsi"/>
        </w:rPr>
        <w:t xml:space="preserve"> 42</w:t>
      </w:r>
      <w:r w:rsidRPr="00DA5119">
        <w:rPr>
          <w:rFonts w:asciiTheme="minorHAnsi" w:hAnsiTheme="minorHAnsi"/>
          <w:b/>
          <w:bCs/>
        </w:rPr>
        <w:t>,</w:t>
      </w:r>
      <w:r w:rsidRPr="00DA5119">
        <w:rPr>
          <w:rFonts w:asciiTheme="minorHAnsi" w:hAnsiTheme="minorHAnsi"/>
        </w:rPr>
        <w:t xml:space="preserve"> 251-267.</w:t>
      </w:r>
    </w:p>
    <w:p w14:paraId="33413AE2"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 xml:space="preserve">Gusti, M. I. 2010. An algorithm for simulation of forest management decisions in the global forest model. </w:t>
      </w:r>
      <w:r w:rsidRPr="00DA5119">
        <w:rPr>
          <w:rFonts w:asciiTheme="minorHAnsi" w:hAnsiTheme="minorHAnsi"/>
          <w:i/>
          <w:iCs/>
        </w:rPr>
        <w:t>Штучний інтелект</w:t>
      </w:r>
      <w:r w:rsidRPr="00DA5119">
        <w:rPr>
          <w:rFonts w:asciiTheme="minorHAnsi" w:hAnsiTheme="minorHAnsi"/>
        </w:rPr>
        <w:t>.</w:t>
      </w:r>
    </w:p>
    <w:p w14:paraId="687CBFE6" w14:textId="77777777" w:rsidR="008036FA" w:rsidRPr="00DA5119" w:rsidRDefault="008036FA" w:rsidP="00DA5119">
      <w:pPr>
        <w:pStyle w:val="References"/>
        <w:ind w:left="-90"/>
        <w:rPr>
          <w:rFonts w:asciiTheme="minorHAnsi" w:hAnsiTheme="minorHAnsi"/>
        </w:rPr>
      </w:pPr>
      <w:r w:rsidRPr="00DA5119">
        <w:rPr>
          <w:rFonts w:asciiTheme="minorHAnsi" w:hAnsiTheme="minorHAnsi"/>
          <w:lang w:val="de-AT"/>
        </w:rPr>
        <w:t xml:space="preserve">Havlik, P., Schneider, U. A., Schmid, E., Bottcher, H., Fritz, S., Skalsky, R., Aoki, K., De Cara, S., Kindermann, G. &amp; Kraxner, F. 2011. </w:t>
      </w:r>
      <w:r w:rsidRPr="00DA5119">
        <w:rPr>
          <w:rFonts w:asciiTheme="minorHAnsi" w:hAnsiTheme="minorHAnsi"/>
        </w:rPr>
        <w:t xml:space="preserve">Global land-use implications of first and second generation biofuel targets. </w:t>
      </w:r>
      <w:r w:rsidRPr="00DA5119">
        <w:rPr>
          <w:rFonts w:asciiTheme="minorHAnsi" w:hAnsiTheme="minorHAnsi"/>
          <w:i/>
          <w:iCs/>
        </w:rPr>
        <w:t>Energy Policy,</w:t>
      </w:r>
      <w:r w:rsidRPr="00DA5119">
        <w:rPr>
          <w:rFonts w:asciiTheme="minorHAnsi" w:hAnsiTheme="minorHAnsi"/>
        </w:rPr>
        <w:t xml:space="preserve"> 39</w:t>
      </w:r>
      <w:r w:rsidRPr="00DA5119">
        <w:rPr>
          <w:rFonts w:asciiTheme="minorHAnsi" w:hAnsiTheme="minorHAnsi"/>
          <w:b/>
          <w:bCs/>
        </w:rPr>
        <w:t>,</w:t>
      </w:r>
      <w:r w:rsidRPr="00DA5119">
        <w:rPr>
          <w:rFonts w:asciiTheme="minorHAnsi" w:hAnsiTheme="minorHAnsi"/>
        </w:rPr>
        <w:t xml:space="preserve"> 5690-5702.</w:t>
      </w:r>
    </w:p>
    <w:p w14:paraId="14DAC58E"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 xml:space="preserve">Havlik, P., Valin, H., Herrero, M., Obersteiner, M., Schmid, E., Rufino, M. C., Mosnier, A., Thornton, P. K., Bottcher, H. &amp; Conant, R. T. 2014. Climate change mitigation through livestock system transitions. </w:t>
      </w:r>
      <w:r w:rsidRPr="00DA5119">
        <w:rPr>
          <w:rFonts w:asciiTheme="minorHAnsi" w:hAnsiTheme="minorHAnsi"/>
          <w:i/>
          <w:iCs/>
        </w:rPr>
        <w:t>Proceedings of the National Academy of Sciences,</w:t>
      </w:r>
      <w:r w:rsidRPr="00DA5119">
        <w:rPr>
          <w:rFonts w:asciiTheme="minorHAnsi" w:hAnsiTheme="minorHAnsi"/>
        </w:rPr>
        <w:t xml:space="preserve"> 111</w:t>
      </w:r>
      <w:r w:rsidRPr="00DA5119">
        <w:rPr>
          <w:rFonts w:asciiTheme="minorHAnsi" w:hAnsiTheme="minorHAnsi"/>
          <w:b/>
          <w:bCs/>
        </w:rPr>
        <w:t>,</w:t>
      </w:r>
      <w:r w:rsidRPr="00DA5119">
        <w:rPr>
          <w:rFonts w:asciiTheme="minorHAnsi" w:hAnsiTheme="minorHAnsi"/>
        </w:rPr>
        <w:t xml:space="preserve"> 3709-3714.</w:t>
      </w:r>
    </w:p>
    <w:p w14:paraId="27D99AC0" w14:textId="77777777" w:rsidR="008036FA" w:rsidRPr="00DA5119" w:rsidRDefault="008036FA" w:rsidP="00DA5119">
      <w:pPr>
        <w:pStyle w:val="References"/>
        <w:ind w:left="-90"/>
        <w:rPr>
          <w:rFonts w:asciiTheme="minorHAnsi" w:hAnsiTheme="minorHAnsi"/>
        </w:rPr>
      </w:pPr>
      <w:r w:rsidRPr="00DA5119">
        <w:rPr>
          <w:rFonts w:asciiTheme="minorHAnsi" w:hAnsiTheme="minorHAnsi"/>
          <w:lang w:val="de-AT"/>
        </w:rPr>
        <w:t xml:space="preserve">Kindermann, G. E., Obersteiner, M., Rametsteiner, E. &amp; Mccallum, I. 2006. </w:t>
      </w:r>
      <w:r w:rsidRPr="00DA5119">
        <w:rPr>
          <w:rFonts w:asciiTheme="minorHAnsi" w:hAnsiTheme="minorHAnsi"/>
        </w:rPr>
        <w:t xml:space="preserve">Predicting the deforestation-trend under different carbon-prices. </w:t>
      </w:r>
      <w:r w:rsidRPr="00DA5119">
        <w:rPr>
          <w:rFonts w:asciiTheme="minorHAnsi" w:hAnsiTheme="minorHAnsi"/>
          <w:i/>
          <w:iCs/>
        </w:rPr>
        <w:t>Carbon Balance and management,</w:t>
      </w:r>
      <w:r w:rsidRPr="00DA5119">
        <w:rPr>
          <w:rFonts w:asciiTheme="minorHAnsi" w:hAnsiTheme="minorHAnsi"/>
        </w:rPr>
        <w:t xml:space="preserve"> 1</w:t>
      </w:r>
      <w:r w:rsidRPr="00DA5119">
        <w:rPr>
          <w:rFonts w:asciiTheme="minorHAnsi" w:hAnsiTheme="minorHAnsi"/>
          <w:b/>
          <w:bCs/>
        </w:rPr>
        <w:t>,</w:t>
      </w:r>
      <w:r w:rsidRPr="00DA5119">
        <w:rPr>
          <w:rFonts w:asciiTheme="minorHAnsi" w:hAnsiTheme="minorHAnsi"/>
        </w:rPr>
        <w:t xml:space="preserve"> 15.</w:t>
      </w:r>
    </w:p>
    <w:p w14:paraId="62127A22"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Krey, V., Havlik, P., Fricko, O., Zilliacus, J., Gidden, M., Strubegger, M., Kartasasmita, G., Ermolieva, T., Forsell, N., Gusti, M., Johnson, N., Kindermann, G., Kolp, P., Mccollum, D. L., Pachauri, S., Rao, S., Rogelj, J., Valin, H., Obersteiner, M. &amp; Riahi, K. 2016. MESSAGE-GLOBIOM 1.0 Documentation. International Institute for Applied Systems Analysis (IIASA).</w:t>
      </w:r>
    </w:p>
    <w:p w14:paraId="79E46801" w14:textId="77777777" w:rsidR="008036FA" w:rsidRPr="00DA5119" w:rsidRDefault="008036FA" w:rsidP="00DA5119">
      <w:pPr>
        <w:pStyle w:val="References"/>
        <w:ind w:left="-90"/>
        <w:rPr>
          <w:rFonts w:asciiTheme="minorHAnsi" w:hAnsiTheme="minorHAnsi"/>
        </w:rPr>
      </w:pPr>
      <w:r w:rsidRPr="00DA5119">
        <w:rPr>
          <w:rFonts w:asciiTheme="minorHAnsi" w:hAnsiTheme="minorHAnsi"/>
          <w:lang w:val="de-AT"/>
        </w:rPr>
        <w:t xml:space="preserve">Meinshausen, M., Raper, S. C. B. &amp; Wigley, T. M. L. 2011. </w:t>
      </w:r>
      <w:r w:rsidRPr="00DA5119">
        <w:rPr>
          <w:rFonts w:asciiTheme="minorHAnsi" w:hAnsiTheme="minorHAnsi"/>
        </w:rPr>
        <w:t xml:space="preserve">Emulating coupled atmosphere-ocean and carbon cycle models with a simpler model, MAGICC6–Part 1: Model description and calibration. </w:t>
      </w:r>
      <w:r w:rsidRPr="00DA5119">
        <w:rPr>
          <w:rFonts w:asciiTheme="minorHAnsi" w:hAnsiTheme="minorHAnsi"/>
          <w:i/>
          <w:iCs/>
        </w:rPr>
        <w:t>Atmospheric Chemistry and Physics,</w:t>
      </w:r>
      <w:r w:rsidRPr="00DA5119">
        <w:rPr>
          <w:rFonts w:asciiTheme="minorHAnsi" w:hAnsiTheme="minorHAnsi"/>
        </w:rPr>
        <w:t xml:space="preserve"> 11</w:t>
      </w:r>
      <w:r w:rsidRPr="00DA5119">
        <w:rPr>
          <w:rFonts w:asciiTheme="minorHAnsi" w:hAnsiTheme="minorHAnsi"/>
          <w:b/>
          <w:bCs/>
        </w:rPr>
        <w:t>,</w:t>
      </w:r>
      <w:r w:rsidRPr="00DA5119">
        <w:rPr>
          <w:rFonts w:asciiTheme="minorHAnsi" w:hAnsiTheme="minorHAnsi"/>
        </w:rPr>
        <w:t xml:space="preserve"> 1417-1456.</w:t>
      </w:r>
    </w:p>
    <w:p w14:paraId="4A76DFA8"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 xml:space="preserve">Messner, S. &amp; Schrattenholzer, L. 2000. MESSAGE–MACRO: linking an energy supply model with a macroeconomic module and solving it iteratively. </w:t>
      </w:r>
      <w:r w:rsidRPr="00DA5119">
        <w:rPr>
          <w:rFonts w:asciiTheme="minorHAnsi" w:hAnsiTheme="minorHAnsi"/>
          <w:i/>
          <w:iCs/>
        </w:rPr>
        <w:t>Energy,</w:t>
      </w:r>
      <w:r w:rsidRPr="00DA5119">
        <w:rPr>
          <w:rFonts w:asciiTheme="minorHAnsi" w:hAnsiTheme="minorHAnsi"/>
        </w:rPr>
        <w:t xml:space="preserve"> 25</w:t>
      </w:r>
      <w:r w:rsidRPr="00DA5119">
        <w:rPr>
          <w:rFonts w:asciiTheme="minorHAnsi" w:hAnsiTheme="minorHAnsi"/>
          <w:b/>
          <w:bCs/>
        </w:rPr>
        <w:t>,</w:t>
      </w:r>
      <w:r w:rsidRPr="00DA5119">
        <w:rPr>
          <w:rFonts w:asciiTheme="minorHAnsi" w:hAnsiTheme="minorHAnsi"/>
        </w:rPr>
        <w:t xml:space="preserve"> 267-282.</w:t>
      </w:r>
    </w:p>
    <w:p w14:paraId="4D6EFC15"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 xml:space="preserve">Messner, S. &amp; Strubegger, M. 1995. </w:t>
      </w:r>
      <w:r w:rsidRPr="00DA5119">
        <w:rPr>
          <w:rFonts w:asciiTheme="minorHAnsi" w:hAnsiTheme="minorHAnsi"/>
          <w:i/>
          <w:iCs/>
        </w:rPr>
        <w:t>User's Guide for MESSAGE III</w:t>
      </w:r>
      <w:r w:rsidRPr="00DA5119">
        <w:rPr>
          <w:rFonts w:asciiTheme="minorHAnsi" w:hAnsiTheme="minorHAnsi"/>
        </w:rPr>
        <w:t>, International Institute for Applied Systems Analysis (IIASA).</w:t>
      </w:r>
    </w:p>
    <w:p w14:paraId="35C9997B" w14:textId="77777777" w:rsidR="008036FA" w:rsidRPr="00DA5119" w:rsidRDefault="008036FA" w:rsidP="00DA5119">
      <w:pPr>
        <w:pStyle w:val="References"/>
        <w:ind w:left="-90"/>
        <w:rPr>
          <w:rFonts w:asciiTheme="minorHAnsi" w:hAnsiTheme="minorHAnsi"/>
          <w:lang w:val="nl-NL"/>
        </w:rPr>
      </w:pPr>
      <w:r w:rsidRPr="00DA5119">
        <w:rPr>
          <w:rFonts w:asciiTheme="minorHAnsi" w:hAnsiTheme="minorHAnsi"/>
          <w:lang w:val="de-AT"/>
        </w:rPr>
        <w:t xml:space="preserve">Rao, S., Pachauri, S., Dentener, F., Kinney, P., Klimont, Z., Riahi, K. &amp; Schoepp, W. 2013. </w:t>
      </w:r>
      <w:r w:rsidRPr="00DA5119">
        <w:rPr>
          <w:rFonts w:asciiTheme="minorHAnsi" w:hAnsiTheme="minorHAnsi"/>
        </w:rPr>
        <w:t xml:space="preserve">Better air for better health: Forging synergies in policies for energy access, climate change and air pollution. </w:t>
      </w:r>
      <w:r w:rsidRPr="00DA5119">
        <w:rPr>
          <w:rFonts w:asciiTheme="minorHAnsi" w:hAnsiTheme="minorHAnsi"/>
          <w:i/>
          <w:iCs/>
          <w:lang w:val="nl-NL"/>
        </w:rPr>
        <w:t>Global environmental change,</w:t>
      </w:r>
      <w:r w:rsidRPr="00DA5119">
        <w:rPr>
          <w:rFonts w:asciiTheme="minorHAnsi" w:hAnsiTheme="minorHAnsi"/>
          <w:lang w:val="nl-NL"/>
        </w:rPr>
        <w:t xml:space="preserve"> 23</w:t>
      </w:r>
      <w:r w:rsidRPr="00DA5119">
        <w:rPr>
          <w:rFonts w:asciiTheme="minorHAnsi" w:hAnsiTheme="minorHAnsi"/>
          <w:b/>
          <w:bCs/>
          <w:lang w:val="nl-NL"/>
        </w:rPr>
        <w:t>,</w:t>
      </w:r>
      <w:r w:rsidRPr="00DA5119">
        <w:rPr>
          <w:rFonts w:asciiTheme="minorHAnsi" w:hAnsiTheme="minorHAnsi"/>
          <w:lang w:val="nl-NL"/>
        </w:rPr>
        <w:t xml:space="preserve"> 1122-1130.</w:t>
      </w:r>
    </w:p>
    <w:p w14:paraId="1211D416" w14:textId="77777777" w:rsidR="008036FA" w:rsidRPr="00DA5119" w:rsidRDefault="008036FA" w:rsidP="00DA5119">
      <w:pPr>
        <w:pStyle w:val="References"/>
        <w:ind w:left="-90"/>
        <w:rPr>
          <w:rFonts w:asciiTheme="minorHAnsi" w:hAnsiTheme="minorHAnsi"/>
        </w:rPr>
      </w:pPr>
      <w:r w:rsidRPr="00DA5119">
        <w:rPr>
          <w:rFonts w:asciiTheme="minorHAnsi" w:hAnsiTheme="minorHAnsi"/>
          <w:lang w:val="nl-NL"/>
        </w:rPr>
        <w:lastRenderedPageBreak/>
        <w:t xml:space="preserve">Riahi, K., Dentener, F., Gielen, D., Grubler, A., Jewell, J., Klimont, Z., Krey, V., Mccollum, D., Pachauri, S., Rao, S., Van Ruijven, B., Van Vuuren, D. P. &amp; Wilson, C. 2012. </w:t>
      </w:r>
      <w:r w:rsidRPr="00DA5119">
        <w:rPr>
          <w:rFonts w:asciiTheme="minorHAnsi" w:hAnsiTheme="minorHAnsi"/>
        </w:rPr>
        <w:t xml:space="preserve">Chapter 17 - Energy Pathways for Sustainable Development. </w:t>
      </w:r>
      <w:r w:rsidRPr="00DA5119">
        <w:rPr>
          <w:rFonts w:asciiTheme="minorHAnsi" w:hAnsiTheme="minorHAnsi"/>
          <w:i/>
          <w:iCs/>
        </w:rPr>
        <w:t>Global Energy Assessment - Toward a Sustainable Future.</w:t>
      </w:r>
      <w:r w:rsidRPr="00DA5119">
        <w:rPr>
          <w:rFonts w:asciiTheme="minorHAnsi" w:hAnsiTheme="minorHAnsi"/>
        </w:rPr>
        <w:t xml:space="preserve"> Cambridge University Press, Cambridge, UK and New York, NY, USA and the International Institute for Applied Systems Analysis, Laxenburg, Austria.</w:t>
      </w:r>
    </w:p>
    <w:p w14:paraId="32B7277F" w14:textId="33E8FE0C" w:rsidR="00DA5119" w:rsidRPr="00DA5119" w:rsidRDefault="008036FA" w:rsidP="00DA5119">
      <w:pPr>
        <w:pStyle w:val="References"/>
        <w:ind w:left="-90"/>
        <w:rPr>
          <w:rFonts w:asciiTheme="minorHAnsi" w:hAnsiTheme="minorHAnsi"/>
        </w:rPr>
      </w:pPr>
      <w:r w:rsidRPr="00DA5119">
        <w:rPr>
          <w:rFonts w:asciiTheme="minorHAnsi" w:hAnsiTheme="minorHAnsi"/>
          <w:lang w:val="de-AT"/>
        </w:rPr>
        <w:t xml:space="preserve">Riahi, K., Grubler, A. &amp; Nakicenovic, N. 2007. </w:t>
      </w:r>
      <w:r w:rsidRPr="00DA5119">
        <w:rPr>
          <w:rFonts w:asciiTheme="minorHAnsi" w:hAnsiTheme="minorHAnsi"/>
        </w:rPr>
        <w:t xml:space="preserve">Scenarios of long-term socio-economic and environmental development under climate stabilization. </w:t>
      </w:r>
      <w:r w:rsidRPr="00DA5119">
        <w:rPr>
          <w:rFonts w:asciiTheme="minorHAnsi" w:hAnsiTheme="minorHAnsi"/>
          <w:i/>
          <w:iCs/>
        </w:rPr>
        <w:t>Technological Forecasting and Social Change,</w:t>
      </w:r>
      <w:r w:rsidRPr="00DA5119">
        <w:rPr>
          <w:rFonts w:asciiTheme="minorHAnsi" w:hAnsiTheme="minorHAnsi"/>
        </w:rPr>
        <w:t xml:space="preserve"> 74</w:t>
      </w:r>
      <w:r w:rsidRPr="00DA5119">
        <w:rPr>
          <w:rFonts w:asciiTheme="minorHAnsi" w:hAnsiTheme="minorHAnsi"/>
          <w:b/>
          <w:bCs/>
        </w:rPr>
        <w:t>,</w:t>
      </w:r>
      <w:r w:rsidRPr="00DA5119">
        <w:rPr>
          <w:rFonts w:asciiTheme="minorHAnsi" w:hAnsiTheme="minorHAnsi"/>
        </w:rPr>
        <w:t xml:space="preserve"> 887-935.</w:t>
      </w:r>
    </w:p>
    <w:p w14:paraId="0C66D14E" w14:textId="77777777" w:rsidR="00DA5119" w:rsidRPr="00DA5119" w:rsidRDefault="00DA5119" w:rsidP="00DA5119">
      <w:pPr>
        <w:pStyle w:val="References"/>
        <w:ind w:left="-90"/>
        <w:rPr>
          <w:rFonts w:asciiTheme="minorHAnsi" w:hAnsiTheme="minorHAnsi"/>
        </w:rPr>
      </w:pPr>
    </w:p>
    <w:p w14:paraId="54B94ADC" w14:textId="4F183CE9" w:rsidR="008036FA" w:rsidRPr="00DA5119" w:rsidRDefault="008036FA" w:rsidP="00DA5119">
      <w:pPr>
        <w:pStyle w:val="Heading5"/>
        <w:rPr>
          <w:rFonts w:asciiTheme="minorHAnsi" w:hAnsiTheme="minorHAnsi"/>
        </w:rPr>
      </w:pPr>
      <w:r w:rsidRPr="00DA5119">
        <w:rPr>
          <w:rFonts w:asciiTheme="minorHAnsi" w:hAnsiTheme="minorHAnsi"/>
        </w:rPr>
        <w:t>POLES</w:t>
      </w:r>
    </w:p>
    <w:p w14:paraId="6379C5AB" w14:textId="77777777" w:rsidR="008036FA" w:rsidRPr="00DA5119" w:rsidRDefault="008036FA" w:rsidP="00DA5119">
      <w:pPr>
        <w:pStyle w:val="Body"/>
        <w:ind w:left="-90"/>
        <w:rPr>
          <w:rFonts w:asciiTheme="minorHAnsi" w:hAnsiTheme="minorHAnsi"/>
        </w:rPr>
      </w:pPr>
      <w:r w:rsidRPr="00DA5119">
        <w:rPr>
          <w:rFonts w:asciiTheme="minorHAnsi" w:hAnsiTheme="minorHAnsi"/>
        </w:rPr>
        <w:t>The Prospective Outlook for Long-term Energy Systems - POLES model, is a global sectoral simulation model for the development of long</w:t>
      </w:r>
      <w:r w:rsidRPr="00DA5119">
        <w:rPr>
          <w:rFonts w:asciiTheme="minorHAnsi" w:hAnsiTheme="minorHAnsi" w:cs="American Typewriter"/>
        </w:rPr>
        <w:t>‐</w:t>
      </w:r>
      <w:r w:rsidRPr="00DA5119">
        <w:rPr>
          <w:rFonts w:asciiTheme="minorHAnsi" w:hAnsiTheme="minorHAnsi"/>
        </w:rPr>
        <w:t>term (2050</w:t>
      </w:r>
      <w:r w:rsidRPr="00DA5119">
        <w:rPr>
          <w:rFonts w:asciiTheme="minorHAnsi" w:hAnsiTheme="minorHAnsi" w:cs="American Typewriter"/>
        </w:rPr>
        <w:t>‐</w:t>
      </w:r>
      <w:r w:rsidRPr="00DA5119">
        <w:rPr>
          <w:rFonts w:asciiTheme="minorHAnsi" w:hAnsiTheme="minorHAnsi"/>
        </w:rPr>
        <w:t>2100) energy demand and supply pathways with worldwide coverage. Projections are made on the basis of exogenous economic growth, demographic projections and energy resources for each region. It is market-oriented, which means that market equilibrium prices drive the balance of supply and demand for each type of energy. Separate modules represent the national energy balances and the international markets for the world energy system in 57 countries and regions. The model identifies 22 energy demand sectors and more than 40 energy technologies with endogenous technical progress combining “learning by doing” and “learning by searching” on the performance improvement dynamics. Model represents relatively detailed fossil-fuel and bioenergy supply.</w:t>
      </w:r>
    </w:p>
    <w:p w14:paraId="51A1129A" w14:textId="77777777" w:rsidR="008036FA" w:rsidRPr="00DA5119" w:rsidRDefault="008036FA" w:rsidP="00DA5119">
      <w:pPr>
        <w:pStyle w:val="Body"/>
        <w:ind w:left="-90"/>
        <w:rPr>
          <w:rFonts w:asciiTheme="minorHAnsi" w:hAnsiTheme="minorHAnsi"/>
        </w:rPr>
      </w:pPr>
      <w:r w:rsidRPr="00DA5119">
        <w:rPr>
          <w:rFonts w:asciiTheme="minorHAnsi" w:hAnsiTheme="minorHAnsi"/>
        </w:rPr>
        <w:t>Primary biomass resources have been divided into three categories: forest residues (cellulosic biomass), short rotation crops (cellulosic biomass) and other energy crops such as sugar or biooil crops (non-cellulosic biomass). Non-cellulosic biomass is exclusively used as input for the production of 1st generation biofuels. Cellulosic biomass can be used as a transformed product in every consuming sector (including as input for 2nd generation biofuels).</w:t>
      </w:r>
    </w:p>
    <w:p w14:paraId="2B5383D9" w14:textId="77777777" w:rsidR="008036FA" w:rsidRPr="00DA5119" w:rsidRDefault="008036FA" w:rsidP="00DA5119">
      <w:pPr>
        <w:pStyle w:val="Body"/>
        <w:ind w:left="-90"/>
        <w:rPr>
          <w:rFonts w:asciiTheme="minorHAnsi" w:hAnsiTheme="minorHAnsi"/>
        </w:rPr>
      </w:pPr>
      <w:r w:rsidRPr="00DA5119">
        <w:rPr>
          <w:rFonts w:asciiTheme="minorHAnsi" w:hAnsiTheme="minorHAnsi"/>
        </w:rPr>
        <w:t>The biomass potential is calculated as the product of the available area for bioenergy collection by the productivity of the biomass resource on this surface. Normalized supply cost curves are calculated taking into account the percentage of the total potential already used.</w:t>
      </w:r>
    </w:p>
    <w:p w14:paraId="3DF5F6DF" w14:textId="77777777" w:rsidR="008036FA" w:rsidRPr="00DA5119" w:rsidRDefault="008036FA" w:rsidP="00DA5119">
      <w:pPr>
        <w:pStyle w:val="Body"/>
        <w:ind w:left="-90"/>
        <w:rPr>
          <w:rFonts w:asciiTheme="minorHAnsi" w:hAnsiTheme="minorHAnsi"/>
        </w:rPr>
      </w:pPr>
      <w:r w:rsidRPr="00DA5119">
        <w:rPr>
          <w:rFonts w:asciiTheme="minorHAnsi" w:hAnsiTheme="minorHAnsi"/>
        </w:rPr>
        <w:t>Biomass demand is modeled in transformation (power sector), inputs for biofuels production and final demand (4 industrial sectors, 2 sectors for buildings, road and air for transport). Two biofuel types are distinguished in POLES: first and second-generation biofuels (cellulosic ethanol). Demand in biofuels stems from road and air transport. Biofuel production technologies are explicitly modeled: domestic production costs are determined from fixed costs and variable costs; the variable costs include O&amp;M costs, amoving average of the biomass price weighted by the biofuel process efficiency, and the subsidies to biofuel production. First generation biofuels are progressively excluded over time and replaced by 2nd generation biofuels.</w:t>
      </w:r>
    </w:p>
    <w:p w14:paraId="200C9717" w14:textId="77777777" w:rsidR="008036FA" w:rsidRPr="00DA5119" w:rsidRDefault="008036FA" w:rsidP="00DA5119">
      <w:pPr>
        <w:pStyle w:val="Body"/>
        <w:ind w:left="-90"/>
        <w:rPr>
          <w:rFonts w:asciiTheme="minorHAnsi" w:hAnsiTheme="minorHAnsi"/>
        </w:rPr>
      </w:pPr>
      <w:r w:rsidRPr="00DA5119">
        <w:rPr>
          <w:rFonts w:asciiTheme="minorHAnsi" w:hAnsiTheme="minorHAnsi"/>
        </w:rPr>
        <w:t>An international biofuels market supplies importing countries. Imports start as soon as national production is unable to meet domestic demand and an exporting country ceases importing.</w:t>
      </w:r>
    </w:p>
    <w:p w14:paraId="1E0D0B2C" w14:textId="77777777" w:rsidR="008036FA" w:rsidRPr="00DA5119" w:rsidRDefault="008036FA" w:rsidP="00DA5119">
      <w:pPr>
        <w:pStyle w:val="Body"/>
        <w:ind w:left="-90"/>
        <w:rPr>
          <w:rFonts w:asciiTheme="minorHAnsi" w:hAnsiTheme="minorHAnsi"/>
        </w:rPr>
      </w:pPr>
      <w:r w:rsidRPr="00DA5119">
        <w:rPr>
          <w:rFonts w:asciiTheme="minorHAnsi" w:hAnsiTheme="minorHAnsi"/>
        </w:rPr>
        <w:t>POLES allows the production of a relatively robust estimate of the impacts of energy and environmental policies (promotion of variable renewables, biomass, energy efficiency, energy security issues, GHG emissions limitations, effort sharing between countries…).</w:t>
      </w:r>
    </w:p>
    <w:p w14:paraId="75726B33" w14:textId="77777777" w:rsidR="008036FA" w:rsidRPr="00DA5119" w:rsidRDefault="008036FA" w:rsidP="00DA5119">
      <w:pPr>
        <w:pStyle w:val="Body"/>
        <w:ind w:left="-90"/>
        <w:rPr>
          <w:rFonts w:asciiTheme="minorHAnsi" w:hAnsiTheme="minorHAnsi"/>
        </w:rPr>
      </w:pPr>
      <w:r w:rsidRPr="00DA5119">
        <w:rPr>
          <w:rFonts w:asciiTheme="minorHAnsi" w:hAnsiTheme="minorHAnsi"/>
        </w:rPr>
        <w:t>The model was originally developed at the Centre National de la Recherche (CNRS) – Universite Grenoble Alpes (UGA) in France and is now collaboratively maintained and further developed by the European Commission’s JRC, GAEL-CNRS and ENERDATA.</w:t>
      </w:r>
    </w:p>
    <w:p w14:paraId="41878A06" w14:textId="77777777" w:rsidR="008036FA" w:rsidRPr="00DA5119" w:rsidRDefault="008036FA" w:rsidP="00DA5119">
      <w:pPr>
        <w:pStyle w:val="ReferenceHeader"/>
        <w:keepNext/>
        <w:ind w:left="-90"/>
        <w:rPr>
          <w:rFonts w:asciiTheme="minorHAnsi" w:hAnsiTheme="minorHAnsi"/>
        </w:rPr>
      </w:pPr>
      <w:r w:rsidRPr="00DA5119">
        <w:rPr>
          <w:rFonts w:asciiTheme="minorHAnsi" w:hAnsiTheme="minorHAnsi"/>
        </w:rPr>
        <w:t>References</w:t>
      </w:r>
    </w:p>
    <w:p w14:paraId="07C6E3D2"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Criqui, P., Mima, S., Menanteau, P. &amp; Kitous, A. (2015). Mitigation strategies and energy technology learning : an assessment with the POLES model. </w:t>
      </w:r>
      <w:r w:rsidRPr="00DA5119">
        <w:rPr>
          <w:rFonts w:asciiTheme="minorHAnsi" w:hAnsiTheme="minorHAnsi"/>
          <w:i/>
          <w:iCs/>
        </w:rPr>
        <w:t>Technological Forecasting and Social Change</w:t>
      </w:r>
      <w:r w:rsidRPr="00DA5119">
        <w:rPr>
          <w:rFonts w:asciiTheme="minorHAnsi" w:hAnsiTheme="minorHAnsi"/>
        </w:rPr>
        <w:t>, vol. 90 Part A.</w:t>
      </w:r>
    </w:p>
    <w:p w14:paraId="741EA862" w14:textId="77777777" w:rsidR="008036FA" w:rsidRPr="00DA5119" w:rsidRDefault="008036FA" w:rsidP="00DA5119">
      <w:pPr>
        <w:pStyle w:val="References"/>
        <w:ind w:left="-90"/>
        <w:rPr>
          <w:rStyle w:val="Hyperlink"/>
          <w:rFonts w:asciiTheme="minorHAnsi" w:hAnsiTheme="minorHAnsi"/>
          <w:lang w:val="fr-FR"/>
        </w:rPr>
      </w:pPr>
      <w:r w:rsidRPr="00DA5119">
        <w:rPr>
          <w:rFonts w:asciiTheme="minorHAnsi" w:hAnsiTheme="minorHAnsi"/>
          <w:lang w:val="fr-FR"/>
        </w:rPr>
        <w:lastRenderedPageBreak/>
        <w:t>Keramidas, K, Kitous, A., Després, J., Schmitz, A., </w:t>
      </w:r>
      <w:r w:rsidRPr="00DA5119">
        <w:rPr>
          <w:rFonts w:asciiTheme="minorHAnsi" w:hAnsiTheme="minorHAnsi"/>
          <w:i/>
          <w:iCs/>
          <w:lang w:val="fr-FR"/>
        </w:rPr>
        <w:t>POLES-JRC model documentation</w:t>
      </w:r>
      <w:r w:rsidRPr="00DA5119">
        <w:rPr>
          <w:rFonts w:asciiTheme="minorHAnsi" w:hAnsiTheme="minorHAnsi"/>
          <w:lang w:val="fr-FR"/>
        </w:rPr>
        <w:t>. </w:t>
      </w:r>
      <w:r w:rsidRPr="00DA5119">
        <w:rPr>
          <w:rFonts w:asciiTheme="minorHAnsi" w:hAnsiTheme="minorHAnsi"/>
        </w:rPr>
        <w:t>EUR 28728 EN, Publications Office of the European Union, Luxembourg, 2017, ISBN 978-92-79-71801-4, doi:10.2760/225347, JRC107387</w:t>
      </w:r>
      <w:r w:rsidRPr="00DA5119">
        <w:rPr>
          <w:rFonts w:asciiTheme="minorHAnsi" w:hAnsiTheme="minorHAnsi"/>
          <w:lang w:val="fr-FR"/>
        </w:rPr>
        <w:fldChar w:fldCharType="begin"/>
      </w:r>
      <w:r w:rsidRPr="00DA5119">
        <w:rPr>
          <w:rFonts w:asciiTheme="minorHAnsi" w:hAnsiTheme="minorHAnsi"/>
          <w:lang w:val="fr-FR"/>
        </w:rPr>
        <w:instrText>HYPERLINK "\\\\Client\\Y$\\ontwapps\\Timer\\Users\\Mathijs\\Projects\\EMF30\\EMF30 - info\\INDC paper\\Submissions\\Submission 2 _ August 2018\\Additional Analysis\\,https:\\ec.europa.eu\\jrc\\en\\publication\\poles-jrc-model-documentation"</w:instrText>
      </w:r>
      <w:r w:rsidRPr="00DA5119">
        <w:rPr>
          <w:rFonts w:asciiTheme="minorHAnsi" w:hAnsiTheme="minorHAnsi"/>
          <w:lang w:val="fr-FR"/>
        </w:rPr>
        <w:fldChar w:fldCharType="separate"/>
      </w:r>
      <w:r w:rsidRPr="00DA5119">
        <w:rPr>
          <w:rStyle w:val="Hyperlink"/>
          <w:rFonts w:asciiTheme="minorHAnsi" w:hAnsiTheme="minorHAnsi"/>
          <w:lang w:val="fr-FR"/>
        </w:rPr>
        <w:t>,</w:t>
      </w:r>
    </w:p>
    <w:p w14:paraId="572EA12D" w14:textId="77777777" w:rsidR="008036FA" w:rsidRPr="00DA5119" w:rsidRDefault="008036FA" w:rsidP="00DA5119">
      <w:pPr>
        <w:pStyle w:val="References"/>
        <w:ind w:left="-90" w:firstLine="0"/>
        <w:rPr>
          <w:rFonts w:asciiTheme="minorHAnsi" w:hAnsiTheme="minorHAnsi"/>
          <w:lang w:val="fr-FR"/>
        </w:rPr>
      </w:pPr>
      <w:r w:rsidRPr="00DA5119">
        <w:rPr>
          <w:rStyle w:val="Hyperlink"/>
          <w:rFonts w:asciiTheme="minorHAnsi" w:hAnsiTheme="minorHAnsi"/>
          <w:lang w:val="fr-FR"/>
        </w:rPr>
        <w:t>https://ec.europa.eu/jrc/en/publication/poles-jrc-model-documentation</w:t>
      </w:r>
      <w:r w:rsidRPr="00DA5119">
        <w:rPr>
          <w:rFonts w:asciiTheme="minorHAnsi" w:hAnsiTheme="minorHAnsi"/>
          <w:lang w:val="fr-FR"/>
        </w:rPr>
        <w:fldChar w:fldCharType="end"/>
      </w:r>
      <w:r w:rsidRPr="00DA5119">
        <w:rPr>
          <w:rFonts w:asciiTheme="minorHAnsi" w:hAnsiTheme="minorHAnsi"/>
          <w:lang w:val="fr-FR"/>
        </w:rPr>
        <w:t>.</w:t>
      </w:r>
    </w:p>
    <w:p w14:paraId="0D2646D1" w14:textId="77777777" w:rsidR="00442DBA" w:rsidRPr="00DA5119" w:rsidRDefault="00442DBA" w:rsidP="00DA5119">
      <w:pPr>
        <w:rPr>
          <w:lang w:val="fr-FR"/>
        </w:rPr>
      </w:pPr>
    </w:p>
    <w:p w14:paraId="32EA12A4" w14:textId="6D37B4F7" w:rsidR="008036FA" w:rsidRPr="00DA5119" w:rsidRDefault="008036FA" w:rsidP="00DA5119">
      <w:pPr>
        <w:pStyle w:val="Heading5"/>
        <w:rPr>
          <w:rFonts w:asciiTheme="minorHAnsi" w:hAnsiTheme="minorHAnsi"/>
        </w:rPr>
      </w:pPr>
      <w:r w:rsidRPr="00DA5119">
        <w:rPr>
          <w:rFonts w:asciiTheme="minorHAnsi" w:hAnsiTheme="minorHAnsi"/>
        </w:rPr>
        <w:t>REMIND</w:t>
      </w:r>
    </w:p>
    <w:p w14:paraId="58D9E881" w14:textId="77777777" w:rsidR="008036FA" w:rsidRPr="00DA5119" w:rsidRDefault="008036FA" w:rsidP="00DA5119">
      <w:pPr>
        <w:pStyle w:val="Body"/>
        <w:ind w:left="-90"/>
        <w:rPr>
          <w:rFonts w:asciiTheme="minorHAnsi" w:hAnsiTheme="minorHAnsi"/>
        </w:rPr>
      </w:pPr>
      <w:r w:rsidRPr="00DA5119">
        <w:rPr>
          <w:rFonts w:asciiTheme="minorHAnsi" w:hAnsiTheme="minorHAnsi"/>
        </w:rPr>
        <w:t xml:space="preserve">REMIND models the global energy-economy-climate system for 11 world regions and for the time horizon until 2100. For the present study, REMIND in its version 1.7 was used. REMIND represents five individual countries (China, India, Japan, United States of America, and Russia) and six aggregated regions formed by the remaining countries (European Union, Latin America, sub-Saharan Africa without South Africa, Middle East / North Africa / Central Asia, other Asia, Rest of the World). For each region, intertemporal welfare is optimized based on a Ramsey-type macro-economic growth model. </w:t>
      </w:r>
    </w:p>
    <w:p w14:paraId="3AB98F48" w14:textId="77777777" w:rsidR="008036FA" w:rsidRPr="00DA5119" w:rsidRDefault="008036FA" w:rsidP="00DA5119">
      <w:pPr>
        <w:pStyle w:val="Body"/>
        <w:ind w:left="-90"/>
        <w:rPr>
          <w:rFonts w:asciiTheme="minorHAnsi" w:hAnsiTheme="minorHAnsi"/>
        </w:rPr>
      </w:pPr>
      <w:r w:rsidRPr="00DA5119">
        <w:rPr>
          <w:rFonts w:asciiTheme="minorHAnsi" w:hAnsiTheme="minorHAnsi"/>
        </w:rPr>
        <w:t xml:space="preserve">By coupling a macroeconomic equilibrium model with a technology-detailed energy model, REMIND combines the major strengths of bottom-up and top-down models. The macro-economic core and the energy system module are hard-linked via the final energy demand and costs incurred by the energy system. A production function with constant elasticity of substitution (nested CES production function) determines the final energy demand. For the baseline scenario, final energy demands pathways are calibrated to regressions of historic demand patterns. More than 50 technologies are available for the conversion of primary energy into secondary energy carriers as well as for the distribution of secondary energy carriers into final energy. </w:t>
      </w:r>
    </w:p>
    <w:p w14:paraId="7BBA7EA4" w14:textId="77777777" w:rsidR="008036FA" w:rsidRPr="00DA5119" w:rsidRDefault="008036FA" w:rsidP="00DA5119">
      <w:pPr>
        <w:pStyle w:val="Body"/>
        <w:ind w:left="-90"/>
        <w:rPr>
          <w:rFonts w:asciiTheme="minorHAnsi" w:hAnsiTheme="minorHAnsi"/>
        </w:rPr>
      </w:pPr>
      <w:r w:rsidRPr="00DA5119">
        <w:rPr>
          <w:rFonts w:asciiTheme="minorHAnsi" w:hAnsiTheme="minorHAnsi"/>
        </w:rPr>
        <w:t xml:space="preserve">REMIND uses reduced-form emulators derived from the detailed land-use and agricultural model MAgPIE </w:t>
      </w:r>
      <w:r w:rsidRPr="00DA5119">
        <w:rPr>
          <w:rFonts w:asciiTheme="minorHAnsi" w:hAnsiTheme="minorHAnsi"/>
        </w:rPr>
        <w:fldChar w:fldCharType="begin"/>
      </w:r>
      <w:r w:rsidRPr="00DA5119">
        <w:rPr>
          <w:rFonts w:asciiTheme="minorHAnsi" w:hAnsiTheme="minorHAnsi"/>
        </w:rPr>
        <w:instrText xml:space="preserve"> ADDIN ZOTERO_ITEM CSL_CITATION {"citationID":"a1vdli7ucdt","properties":{"formattedCitation":"(Lotze-Campen et al. 2008; Popp et al. 2014)","plainCitation":"(Lotze-Campen et al. 2008; Popp et al. 2014)"},"citationItems":[{"id":2034,"uris":["http://zotero.org/groups/52011/items/DGDUUQUN"],"uri":["http://zotero.org/groups/52011/items/DGDUUQUN"],"itemData":{"id":2034,"type":"article-journal","title":"Global food demand, productivity growth, and the scarcity of land and water resources: a spatially explicit mathematical programming approach","container-title":"Agricultural Economics","page":"325–338","volume":"39","issue":"3","source":"Wiley Online Library","abstract":"In the coming decades, an increasing competition for global land and water resources can be expected, due to rising demand for food and bio-energy production, biodiversity conservation, and changing production conditions due to climate change. The potential of technological change in agriculture to adapt to these trends is subject to considerable uncertainty. In order to simulate these combined effects in a spatially explicit way, we present a model of agricultural production and its impact on the environment (MAgPIE). MAgPIE is a mathematical programming model covering the most important agricultural crop and livestock production types in 10 economic regions worldwide at a spatial resolution of three by three degrees, i.e., approximately 300 by 300 km at the equator. It takes regional economic conditions as well as spatially explicit data on potential crop yields and land and water constraints into account and derives specific land-use patterns for each grid cell. Shadow prices for binding constraints can be used to valuate resources for which in many places no markets exist, especially irrigation water. In this article, we describe the model structure and validation. We apply the model to possible future scenarios up to 2055 and derive required rates of technological change (i.e., yield increase) in agricultural production in order to meet future food demand.","DOI":"10.1111/j.1574-0862.2008.00336.x","ISSN":"1574-0862","shortTitle":"Global food demand, productivity growth, and the scarcity of land and water resources","language":"en","author":[{"family":"Lotze-Campen","given":"Hermann"},{"family":"Müller","given":"Christoph"},{"family":"Bondeau","given":"Alberte"},{"family":"Rost","given":"Stefanie"},{"family":"Popp","given":"Alexander"},{"family":"Lucht","given":"Wolfgang"}],"issued":{"date-parts":[["2008"]]}}},{"id":3074,"uris":["http://zotero.org/groups/52011/items/JKKGXC5G"],"uri":["http://zotero.org/groups/52011/items/JKKGXC5G"],"itemData":{"id":3074,"type":"article-journal","title":"Land-use protection for climate change mitigation","container-title":"Nature Climate Change","page":"1095-1098","volume":"4","issue":"12","source":"CrossRef","abstract":"Land-use change, mainly the conversion of tropical forests to agricultural land, is a massive source of carbon emissions and contributes substantially to global warming. Therefore, mechanisms that aim to reduce carbon emissions from deforestation are widely discussed. A central challenge is the avoidance of international carbon leakage if forest conservation is not implemented globally. Here, we show that forest conservation schemes, even if implemented globally, could lead to another type of carbon leakage by driving cropland expansion in non-forested areas that are not subject to forest conservation schemes (non-forest leakage). These areas have a smaller, but still considerable potential to store carbon. We show that a global forest policy could reduce carbon emissions by 77 Gt CO2, but would still allow for decreases in carbon stocks of non-forest land by 96 Gt CO2 until 2100 due to non-forest leakage effects. Furthermore, abandonment of agricultural land and associated carbon uptake through vegetation regrowth is hampered. Effective mitigation measures thus require financing structures and conservation investments that cover the full range of carbon-rich ecosystems. However, our analysis indicates that greater agricultural productivity increases would be needed to compensate for such restrictions on agricultural expansion.","DOI":"10.1038/nclimate2444","ISSN":"1758-678X, 1758-6798","note":"00000","journalAbbreviation":"Nature Clim. Change","language":"en","author":[{"family":"Popp","given":"Alexander"},{"family":"Humpenöder","given":"Florian"},{"family":"Weindl","given":"Isabelle"},{"family":"Bodirsky","given":"Benjamin Leon"},{"family":"Bonsch","given":"Markus"},{"family":"Lotze-Campen","given":"Hermann"},{"family":"Müller","given":"Christoph"},{"family":"Biewald","given":"Anne"},{"family":"Rolinski","given":"Susanne"},{"family":"Stevanovic","given":"Miodrag"},{"family":"Dietrich","given":"Jan Philipp"}],"issued":{"date-parts":[["2014",11,17]]}}}],"schema":"https://github.com/citation-style-language/schema/raw/master/csl-citation.json"} </w:instrText>
      </w:r>
      <w:r w:rsidRPr="00DA5119">
        <w:rPr>
          <w:rFonts w:asciiTheme="minorHAnsi" w:hAnsiTheme="minorHAnsi"/>
        </w:rPr>
        <w:fldChar w:fldCharType="separate"/>
      </w:r>
      <w:r w:rsidRPr="00DA5119">
        <w:rPr>
          <w:rFonts w:asciiTheme="minorHAnsi" w:hAnsiTheme="minorHAnsi"/>
        </w:rPr>
        <w:t>(Lotze-Campen et al. 2008; Popp et al. 2014)</w:t>
      </w:r>
      <w:r w:rsidRPr="00DA5119">
        <w:rPr>
          <w:rFonts w:asciiTheme="minorHAnsi" w:hAnsiTheme="minorHAnsi"/>
        </w:rPr>
        <w:fldChar w:fldCharType="end"/>
      </w:r>
      <w:r w:rsidRPr="00DA5119">
        <w:rPr>
          <w:rFonts w:asciiTheme="minorHAnsi" w:hAnsiTheme="minorHAnsi"/>
        </w:rPr>
        <w:t xml:space="preserve"> to represent land-use and agricultural emissions as well as bioenergy supply and other land-based mitigation options. Beyond CO</w:t>
      </w:r>
      <w:r w:rsidRPr="00DA5119">
        <w:rPr>
          <w:rFonts w:asciiTheme="minorHAnsi" w:hAnsiTheme="minorHAnsi"/>
          <w:vertAlign w:val="subscript"/>
        </w:rPr>
        <w:t>2</w:t>
      </w:r>
      <w:r w:rsidRPr="00DA5119">
        <w:rPr>
          <w:rFonts w:asciiTheme="minorHAnsi" w:hAnsiTheme="minorHAnsi"/>
        </w:rPr>
        <w:t>, REMIND also represents emissions and mitigation options of major non-CO</w:t>
      </w:r>
      <w:r w:rsidRPr="00DA5119">
        <w:rPr>
          <w:rFonts w:asciiTheme="minorHAnsi" w:hAnsiTheme="minorHAnsi"/>
          <w:vertAlign w:val="subscript"/>
        </w:rPr>
        <w:t>2</w:t>
      </w:r>
      <w:r w:rsidRPr="00DA5119">
        <w:rPr>
          <w:rFonts w:asciiTheme="minorHAnsi" w:hAnsiTheme="minorHAnsi"/>
        </w:rPr>
        <w:t xml:space="preserve"> greenhouse gases </w:t>
      </w:r>
      <w:r w:rsidRPr="00DA5119">
        <w:rPr>
          <w:rFonts w:asciiTheme="minorHAnsi" w:hAnsiTheme="minorHAnsi"/>
        </w:rPr>
        <w:fldChar w:fldCharType="begin"/>
      </w:r>
      <w:r w:rsidRPr="00DA5119">
        <w:rPr>
          <w:rFonts w:asciiTheme="minorHAnsi" w:hAnsiTheme="minorHAnsi"/>
        </w:rPr>
        <w:instrText xml:space="preserve"> ADDIN ZOTERO_ITEM CSL_CITATION {"citationID":"aoIEthol","properties":{"formattedCitation":"(EPA 2013; Strefler et al. 2014a)","plainCitation":"(EPA 2013; Strefler et al. 2014a)"},"citationItems":[{"id":2838,"uris":["http://zotero.org/groups/52011/items/I3IZGDAI"],"uri":["http://zotero.org/groups/52011/items/I3IZGDAI"],"itemData":{"id":2838,"type":"article-journal","title":"Economic impacts of alternative greenhouse gas emission metrics: a model-based assessment","container-title":"Climatic Change","source":"CrossRef","URL":"http://link.springer.com/10.1007/s10584-014-1188-y","DOI":"10.1007/s10584-014-1188-y","ISSN":"0165-0009, 1573-1480","shortTitle":"Economic impacts of alternative greenhouse gas emission metrics","language":"en","author":[{"family":"Strefler","given":"Jessica"},{"family":"Luderer","given":"Gunnar"},{"family":"Aboumahboub","given":"Tino"},{"family":"Kriegler","given":"Elmar"}],"issued":{"date-parts":[["2014",7,15]]},"accessed":{"date-parts":[["2014",7,28]]}}},{"id":23498,"uris":["http://zotero.org/groups/52011/items/BNBMAVDK"],"uri":["http://zotero.org/groups/52011/items/BNBMAVDK"],"itemData":{"id":23498,"type":"article-journal","title":"Global Mitigation of Non-CO2 Greenhouse Gases: 2010-2030","page":"EPA-430-R-13-011","abstract":"United States Environmental Protection Agency","note":"00000","author":[{"family":"EPA","given":""}],"issued":{"date-parts":[["2013"]]}}}],"schema":"https://github.com/citation-style-language/schema/raw/master/csl-citation.json"} </w:instrText>
      </w:r>
      <w:r w:rsidRPr="00DA5119">
        <w:rPr>
          <w:rFonts w:asciiTheme="minorHAnsi" w:hAnsiTheme="minorHAnsi"/>
        </w:rPr>
        <w:fldChar w:fldCharType="separate"/>
      </w:r>
      <w:r w:rsidRPr="00DA5119">
        <w:rPr>
          <w:rFonts w:asciiTheme="minorHAnsi" w:hAnsiTheme="minorHAnsi"/>
        </w:rPr>
        <w:t>(EPA 2013; Strefler et al. 2014a)</w:t>
      </w:r>
      <w:r w:rsidRPr="00DA5119">
        <w:rPr>
          <w:rFonts w:asciiTheme="minorHAnsi" w:hAnsiTheme="minorHAnsi"/>
        </w:rPr>
        <w:fldChar w:fldCharType="end"/>
      </w:r>
      <w:r w:rsidRPr="00DA5119">
        <w:rPr>
          <w:rFonts w:asciiTheme="minorHAnsi" w:hAnsiTheme="minorHAnsi"/>
        </w:rPr>
        <w:t xml:space="preserve"> and air pollutants </w:t>
      </w:r>
      <w:r w:rsidRPr="00DA5119">
        <w:rPr>
          <w:rFonts w:asciiTheme="minorHAnsi" w:hAnsiTheme="minorHAnsi"/>
        </w:rPr>
        <w:fldChar w:fldCharType="begin"/>
      </w:r>
      <w:r w:rsidRPr="00DA5119">
        <w:rPr>
          <w:rFonts w:asciiTheme="minorHAnsi" w:hAnsiTheme="minorHAnsi"/>
        </w:rPr>
        <w:instrText xml:space="preserve"> ADDIN ZOTERO_ITEM CSL_CITATION {"citationID":"a1gk9hdp4m","properties":{"formattedCitation":"(Strefler et al. 2014b)","plainCitation":"(Strefler et al. 2014b)"},"citationItems":[{"id":1335,"uris":["http://zotero.org/groups/52011/items/9HMIG7RJ"],"uri":["http://zotero.org/groups/52011/items/9HMIG7RJ"],"itemData":{"id":1335,"type":"article-journal","title":"Can air pollutant controls change global warming?","container-title":"Environmental Science &amp; Policy","page":"33-43","volume":"41","source":"CrossRef","DOI":"10.1016/j.envsci.2014.04.009","ISSN":"14629011","language":"en","author":[{"family":"Strefler","given":"Jessica"},{"family":"Luderer","given":"Gunnar"},{"family":"Kriegler","given":"Elmar"},{"family":"Meinshausen","given":"Malte"}],"issued":{"date-parts":[["2014",8]]}}}],"schema":"https://github.com/citation-style-language/schema/raw/master/csl-citation.json"} </w:instrText>
      </w:r>
      <w:r w:rsidRPr="00DA5119">
        <w:rPr>
          <w:rFonts w:asciiTheme="minorHAnsi" w:hAnsiTheme="minorHAnsi"/>
        </w:rPr>
        <w:fldChar w:fldCharType="separate"/>
      </w:r>
      <w:r w:rsidRPr="00DA5119">
        <w:rPr>
          <w:rFonts w:asciiTheme="minorHAnsi" w:hAnsiTheme="minorHAnsi"/>
        </w:rPr>
        <w:t>(Strefler et al. 2014b)</w:t>
      </w:r>
      <w:r w:rsidRPr="00DA5119">
        <w:rPr>
          <w:rFonts w:asciiTheme="minorHAnsi" w:hAnsiTheme="minorHAnsi"/>
        </w:rPr>
        <w:fldChar w:fldCharType="end"/>
      </w:r>
      <w:r w:rsidRPr="00DA5119">
        <w:rPr>
          <w:rFonts w:asciiTheme="minorHAnsi" w:hAnsiTheme="minorHAnsi"/>
        </w:rPr>
        <w:t xml:space="preserve">, recently updated using emissions factors from the GAINS model </w:t>
      </w:r>
      <w:r w:rsidRPr="00DA5119">
        <w:rPr>
          <w:rFonts w:asciiTheme="minorHAnsi" w:hAnsiTheme="minorHAnsi"/>
        </w:rPr>
        <w:fldChar w:fldCharType="begin"/>
      </w:r>
      <w:r w:rsidRPr="00DA5119">
        <w:rPr>
          <w:rFonts w:asciiTheme="minorHAnsi" w:hAnsiTheme="minorHAnsi"/>
        </w:rPr>
        <w:instrText xml:space="preserve"> ADDIN ZOTERO_ITEM CSL_CITATION {"citationID":"a1jri2ltu50","properties":{"formattedCitation":"(Rao et al. 2016)","plainCitation":"(Rao et al. 2016)"},"citationItems":[{"id":25302,"uris":["http://zotero.org/groups/52011/items/GC28K5KK"],"uri":["http://zotero.org/groups/52011/items/GC28K5KK"],"itemData":{"id":25302,"type":"article-journal","title":"A multi-model assessment of the co-benefits of climate mitigation for global air quality","container-title":"Environmental Research Letters","page":"124013","volume":"11","issue":"12","source":"CrossRef","DOI":"10.1088/1748-9326/11/12/124013","ISSN":"1748-9326","author":[{"family":"Rao","given":"Shilpa"},{"family":"Klimont","given":"Zbigniew"},{"family":"Leitao","given":"Joana"},{"family":"Riahi","given":"Keywan"},{"family":"Dingenen","given":"Rita","non-dropping-particle":"van"},{"family":"Reis","given":"Lara Aleluia"},{"family":"Calvin","given":"Katherine"},{"family":"Dentener","given":"Frank"},{"family":"Drouet","given":"Laurent"},{"family":"Fujimori","given":"Shinichiro"},{"family":"Harmsen","given":"Mathijs"},{"family":"Luderer","given":"Gunnar"},{"family":"Heyes","given":"Chris"},{"family":"Strefler","given":"Jessica"},{"family":"Tavoni","given":"Massimo"},{"family":"Vuuren","given":"Detlef P","non-dropping-particle":"van"}],"issued":{"date-parts":[["2016",12,1]]}}}],"schema":"https://github.com/citation-style-language/schema/raw/master/csl-citation.json"} </w:instrText>
      </w:r>
      <w:r w:rsidRPr="00DA5119">
        <w:rPr>
          <w:rFonts w:asciiTheme="minorHAnsi" w:hAnsiTheme="minorHAnsi"/>
        </w:rPr>
        <w:fldChar w:fldCharType="separate"/>
      </w:r>
      <w:r w:rsidRPr="00DA5119">
        <w:rPr>
          <w:rFonts w:asciiTheme="minorHAnsi" w:hAnsiTheme="minorHAnsi"/>
        </w:rPr>
        <w:t>(Rao et al. 2016)</w:t>
      </w:r>
      <w:r w:rsidRPr="00DA5119">
        <w:rPr>
          <w:rFonts w:asciiTheme="minorHAnsi" w:hAnsiTheme="minorHAnsi"/>
        </w:rPr>
        <w:fldChar w:fldCharType="end"/>
      </w:r>
      <w:r w:rsidRPr="00DA5119">
        <w:rPr>
          <w:rFonts w:asciiTheme="minorHAnsi" w:hAnsiTheme="minorHAnsi"/>
        </w:rPr>
        <w:t xml:space="preserve">. REMIND uses the MAGICC model </w:t>
      </w:r>
      <w:r w:rsidRPr="00DA5119">
        <w:rPr>
          <w:rFonts w:asciiTheme="minorHAnsi" w:hAnsiTheme="minorHAnsi"/>
        </w:rPr>
        <w:fldChar w:fldCharType="begin"/>
      </w:r>
      <w:r w:rsidRPr="00DA5119">
        <w:rPr>
          <w:rFonts w:asciiTheme="minorHAnsi" w:hAnsiTheme="minorHAnsi"/>
        </w:rPr>
        <w:instrText xml:space="preserve"> ADDIN ZOTERO_ITEM CSL_CITATION {"citationID":"a191np5csi5","properties":{"formattedCitation":"(Meinshausen et al. 2011)","plainCitation":"(Meinshausen et al. 2011)"},"citationItems":[{"id":22602,"uris":["http://zotero.org/groups/52011/items/5GUI7KVE"],"uri":["http://zotero.org/groups/52011/items/5GUI7KVE"],"itemData":{"id":22602,"type":"article-journal","title":"Emulating coupled atmosphere-ocean and carbon cycle models with a simpler model, MAGICC6 – Part 1: Model description and calibration","container-title":"Atmos. Chem. Phys.","page":"1417-1456","volume":"11","issue":"4","source":"Copernicus Online Journals","abstract":"Current scientific knowledge on the future response of the climate system to human-induced perturbations is comprehensively captured by various model intercomparison efforts. In the preparation of the Fourth Assessment Report (AR4) of the Intergovernmental Panel on Climate Change (IPCC), intercomparisons were organized for atmosphere-ocean general circulation models (AOGCMs) and carbon cycle models, named \"CMIP3\" and \"C4MIP\", respectively. Despite their tremendous value for the scientific community and policy makers alike, there are some difficulties in interpreting the results. For example, radiative forcings were not standardized across the various AOGCM integrations and carbon cycle runs, and, in some models, key forcings were omitted. Furthermore, the AOGCM analysis of plausible emissions pathways was restricted to only three SRES scenarios. This study attempts to address these issues. We present an updated version of MAGICC, the simple carbon cycle-climate model used in past IPCC Assessment Reports with enhanced representation of time-varying climate sensitivities, carbon cycle feedbacks, aerosol forcings and ocean heat uptake characteristics. This new version, MAGICC6, is successfully calibrated against the higher complexity AOGCMs and carbon cycle models. Parameterizations of MAGICC6 are provided. The mean of the emulations presented here using MAGICC6 deviates from the mean AOGCM responses by only 2.2% on average for the SRES scenarios. This enhanced emulation skill in comparison to previous calibrations is primarily due to: making a \"like-with-like comparison\" using AOGCM-specific subsets of forcings; employing a new calibration procedure; as well as the fact that the updated simple climate model can now successfully emulate some of the climate-state dependent effective climate sensitivities of AOGCMs. The diagnosed effective climate sensitivity at the time of CO2 doubling for the AOGCMs is on average 2.88 °C, about 0.33 °C cooler than the mean of the reported slab ocean climate sensitivities. In the companion paper (Part 2) of this study, we examine the combined climate system and carbon cycle emulations for the complete range of IPCC SRES emissions scenarios and the new RCP pathways.","DOI":"10.5194/acp-11-1417-2011","ISSN":"1680-7324","note":"00167","shortTitle":"Emulating coupled atmosphere-ocean and carbon cycle models with a simpler model, MAGICC6 – Part 1","journalAbbreviation":"Atmos. Chem. Phys.","author":[{"family":"Meinshausen","given":"M."},{"family":"Raper","given":"S. C. B."},{"family":"Wigley","given":"T. M. L."}],"issued":{"date-parts":[["2011",2,16]]}}}],"schema":"https://github.com/citation-style-language/schema/raw/master/csl-citation.json"} </w:instrText>
      </w:r>
      <w:r w:rsidRPr="00DA5119">
        <w:rPr>
          <w:rFonts w:asciiTheme="minorHAnsi" w:hAnsiTheme="minorHAnsi"/>
        </w:rPr>
        <w:fldChar w:fldCharType="separate"/>
      </w:r>
      <w:r w:rsidRPr="00DA5119">
        <w:rPr>
          <w:rFonts w:asciiTheme="minorHAnsi" w:hAnsiTheme="minorHAnsi"/>
        </w:rPr>
        <w:t>(Meinshausen et al. 2011)</w:t>
      </w:r>
      <w:r w:rsidRPr="00DA5119">
        <w:rPr>
          <w:rFonts w:asciiTheme="minorHAnsi" w:hAnsiTheme="minorHAnsi"/>
        </w:rPr>
        <w:fldChar w:fldCharType="end"/>
      </w:r>
      <w:r w:rsidRPr="00DA5119">
        <w:rPr>
          <w:rFonts w:asciiTheme="minorHAnsi" w:hAnsiTheme="minorHAnsi"/>
        </w:rPr>
        <w:t xml:space="preserve"> in its version 6.4 to analyze climate change implications of emission scenarios.</w:t>
      </w:r>
    </w:p>
    <w:p w14:paraId="3C995057" w14:textId="77777777" w:rsidR="008036FA" w:rsidRPr="00DA5119" w:rsidRDefault="008036FA" w:rsidP="00DA5119">
      <w:pPr>
        <w:pStyle w:val="ReferenceHeader"/>
        <w:keepNext/>
        <w:ind w:left="-90"/>
        <w:rPr>
          <w:rFonts w:asciiTheme="minorHAnsi" w:hAnsiTheme="minorHAnsi"/>
        </w:rPr>
      </w:pPr>
      <w:r w:rsidRPr="00DA5119">
        <w:rPr>
          <w:rFonts w:asciiTheme="minorHAnsi" w:hAnsiTheme="minorHAnsi"/>
        </w:rPr>
        <w:t>References</w:t>
      </w:r>
    </w:p>
    <w:p w14:paraId="60ABEFB2"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EPA (2013) Global Mitigation of Non-CO2 Greenhouse Gases: 2010-2030. EPA-430-R-13-011</w:t>
      </w:r>
    </w:p>
    <w:p w14:paraId="3F17748D"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Lotze-Campen H, Müller C, Bondeau A, et al (2008) Global food demand, productivity growth, and the scarcity of land and water resources: a spatially explicit mathematical programming approach. Agricultural Economics 39:325–338. doi: 10.1111/j.1574-0862.2008.00336.x</w:t>
      </w:r>
    </w:p>
    <w:p w14:paraId="01DF2CDA"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Meinshausen M, Raper SCB, Wigley TML (2011) Emulating coupled atmosphere-ocean and carbon cycle models with a simpler model, MAGICC6 – Part 1: Model description and calibration. Atmos Chem Phys 11:1417–1456. doi: 10.5194/acp-11-1417-2011</w:t>
      </w:r>
    </w:p>
    <w:p w14:paraId="69C862B0"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Popp A, Humpenöder F, Weindl I, et al (2014) Land-use protection for climate change mitigation. Nature Clim Change 4:1095–1098. doi: 10.1038/nclimate2444</w:t>
      </w:r>
    </w:p>
    <w:p w14:paraId="477EDC52"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Rao S, Klimont Z, Leitao J, et al (2016) A multi-model assessment of the co-benefits of climate mitigation for global air quality. Environmental Research Letters 11:124013. doi: 10.1088/1748-9326/11/12/124013</w:t>
      </w:r>
    </w:p>
    <w:p w14:paraId="68D71339"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Strefler J, Luderer G, Aboumahboub T, Kriegler E (2014a) Economic impacts of alternative greenhouse gas emission metrics: a model-based assessment. Climatic Change. doi: 10.1007/s10584-014-1188-y</w:t>
      </w:r>
    </w:p>
    <w:p w14:paraId="1E095EF4"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Strefler J, Luderer G, Kriegler E, Meinshausen M (2014b) Can air pollutant controls change global warming? Environmental Science &amp; Policy 41:33–43. doi: 10.1016/j.envsci.2014.04.009</w:t>
      </w:r>
    </w:p>
    <w:p w14:paraId="75D29353" w14:textId="77777777" w:rsidR="00DA5119" w:rsidRPr="00DA5119" w:rsidRDefault="00DA5119" w:rsidP="00DA5119"/>
    <w:p w14:paraId="688C8A09" w14:textId="5C0CE5A3" w:rsidR="008036FA" w:rsidRPr="00DA5119" w:rsidRDefault="008036FA" w:rsidP="00DA5119">
      <w:pPr>
        <w:pStyle w:val="Heading5"/>
        <w:ind w:left="-90"/>
        <w:rPr>
          <w:rFonts w:asciiTheme="minorHAnsi" w:hAnsiTheme="minorHAnsi"/>
        </w:rPr>
      </w:pPr>
      <w:r w:rsidRPr="00DA5119">
        <w:rPr>
          <w:rFonts w:asciiTheme="minorHAnsi" w:hAnsiTheme="minorHAnsi"/>
        </w:rPr>
        <w:lastRenderedPageBreak/>
        <w:t>WITCH</w:t>
      </w:r>
    </w:p>
    <w:p w14:paraId="72985B7A" w14:textId="77777777" w:rsidR="008036FA" w:rsidRPr="00DA5119" w:rsidRDefault="008036FA" w:rsidP="00DA5119">
      <w:pPr>
        <w:pStyle w:val="Body"/>
        <w:ind w:left="-90"/>
        <w:rPr>
          <w:rFonts w:asciiTheme="minorHAnsi" w:hAnsiTheme="minorHAnsi"/>
        </w:rPr>
      </w:pPr>
      <w:r w:rsidRPr="00DA5119">
        <w:rPr>
          <w:rFonts w:asciiTheme="minorHAnsi" w:hAnsiTheme="minorHAnsi"/>
        </w:rPr>
        <w:t xml:space="preserve">WITCH (World Induced Technical Change Hybrid) is an integrated assessment model designed to assess climate change mitigation and adaptation policies (Emmerling et al., 2016; Bosetti et al., 2007). It is developed and maintained at the Fondazione Eni Enrico Mattei and the Centro Euro-Mediterraneo sui Cambiamenti Climatici. WITCH is a global dynamic model that integrates into a unified framework the most important drivers of climate change. An inter-temporal optimal growth model captures the long- term economic growth dynamics. A compact representation of the energy sector is fully integrated (hard linked) with the rest of the economy so that energy investments and resources are chosen optimally, together with the other macroeconomic variables. Land use mitigation options are available through a linkage with a land use and forestry model (Havlik, 2014). WITCH represents the world in a set of fourteen representative native regions; for each, it generates the optimal mitigation strategy for the long-term (from 2005 to 2100) as a response to external constraints on emissions. A modelling mechanism aggregates the national policies on emission reduction or the energy mix into the WITCH regions. Finally, a distinguishing feature of WITCH is the endogenous representation of R&amp;D diffusion and innovation processes that allows a description of how R&amp;D investments in energy efficiency and carbon-free technologies integrate the mitigation options currently available. </w:t>
      </w:r>
    </w:p>
    <w:p w14:paraId="59FA39DA" w14:textId="77777777" w:rsidR="008036FA" w:rsidRPr="00DA5119" w:rsidRDefault="008036FA" w:rsidP="00DA5119">
      <w:pPr>
        <w:pStyle w:val="Body"/>
        <w:ind w:left="-90"/>
        <w:rPr>
          <w:rFonts w:asciiTheme="minorHAnsi" w:hAnsiTheme="minorHAnsi"/>
        </w:rPr>
      </w:pPr>
      <w:r w:rsidRPr="00DA5119">
        <w:rPr>
          <w:rFonts w:asciiTheme="minorHAnsi" w:hAnsiTheme="minorHAnsi"/>
        </w:rPr>
        <w:t>Further documentation is available at http://doc.witchmodel.org.</w:t>
      </w:r>
    </w:p>
    <w:p w14:paraId="6F8A34A3" w14:textId="77777777" w:rsidR="008036FA" w:rsidRPr="00DA5119" w:rsidRDefault="008036FA" w:rsidP="00DA5119">
      <w:pPr>
        <w:pStyle w:val="ReferenceHeader"/>
        <w:keepNext/>
        <w:ind w:left="-90"/>
        <w:rPr>
          <w:rFonts w:asciiTheme="minorHAnsi" w:hAnsiTheme="minorHAnsi"/>
          <w:lang w:val="de-AT"/>
        </w:rPr>
      </w:pPr>
      <w:r w:rsidRPr="00DA5119">
        <w:rPr>
          <w:rFonts w:asciiTheme="minorHAnsi" w:hAnsiTheme="minorHAnsi"/>
          <w:lang w:val="de-AT"/>
        </w:rPr>
        <w:t>References</w:t>
      </w:r>
    </w:p>
    <w:p w14:paraId="24124641" w14:textId="77777777" w:rsidR="008036FA" w:rsidRPr="00DA5119" w:rsidRDefault="008036FA" w:rsidP="00DA5119">
      <w:pPr>
        <w:pStyle w:val="References"/>
        <w:ind w:left="-90"/>
        <w:rPr>
          <w:rFonts w:asciiTheme="minorHAnsi" w:hAnsiTheme="minorHAnsi"/>
        </w:rPr>
      </w:pPr>
      <w:r w:rsidRPr="00DA5119">
        <w:rPr>
          <w:rFonts w:asciiTheme="minorHAnsi" w:hAnsiTheme="minorHAnsi"/>
          <w:lang w:val="de-AT"/>
        </w:rPr>
        <w:t xml:space="preserve">Havlik, P., H. Valin, M. Herrero, M. Obersteiner, E. Schmid, M. C. Rufino, A. Mosnier, et al. 2014. </w:t>
      </w:r>
      <w:r w:rsidRPr="00DA5119">
        <w:rPr>
          <w:rFonts w:asciiTheme="minorHAnsi" w:hAnsiTheme="minorHAnsi"/>
        </w:rPr>
        <w:t>“Climate Change Mitigation Through Livestock System Transitions.” </w:t>
      </w:r>
      <w:r w:rsidRPr="00DA5119">
        <w:rPr>
          <w:rFonts w:asciiTheme="minorHAnsi" w:hAnsiTheme="minorHAnsi"/>
          <w:i/>
          <w:iCs/>
        </w:rPr>
        <w:t>Proceedings of the National Academy of Sciences</w:t>
      </w:r>
      <w:r w:rsidRPr="00DA5119">
        <w:rPr>
          <w:rFonts w:asciiTheme="minorHAnsi" w:hAnsiTheme="minorHAnsi"/>
        </w:rPr>
        <w:t> 111 (10). Proceedings of the National Academy of Sciences: 3709–14.</w:t>
      </w:r>
    </w:p>
    <w:p w14:paraId="6C1DFAF6" w14:textId="77777777" w:rsidR="008036FA" w:rsidRPr="00DA5119" w:rsidRDefault="008036FA" w:rsidP="00DA5119">
      <w:pPr>
        <w:pStyle w:val="References"/>
        <w:ind w:left="-90"/>
        <w:rPr>
          <w:rFonts w:asciiTheme="minorHAnsi" w:hAnsiTheme="minorHAnsi"/>
        </w:rPr>
      </w:pPr>
      <w:r w:rsidRPr="00DA5119">
        <w:rPr>
          <w:rFonts w:asciiTheme="minorHAnsi" w:hAnsiTheme="minorHAnsi"/>
        </w:rPr>
        <w:t>Bosetti, Valentina, Emanuele Massetti, and Massimo Tavoni. 2007. “The Witch Model: Structure, Baseline, Solutions.” 2007.010. FEEM Working Paper.</w:t>
      </w:r>
    </w:p>
    <w:p w14:paraId="553196EB" w14:textId="6B2D53F6" w:rsidR="00F703E0" w:rsidRPr="00DA5119" w:rsidRDefault="008036FA" w:rsidP="00DA5119">
      <w:pPr>
        <w:pStyle w:val="References"/>
        <w:ind w:left="-90"/>
        <w:rPr>
          <w:rFonts w:asciiTheme="minorHAnsi" w:hAnsiTheme="minorHAnsi"/>
        </w:rPr>
      </w:pPr>
      <w:r w:rsidRPr="00DA5119">
        <w:rPr>
          <w:rFonts w:asciiTheme="minorHAnsi" w:hAnsiTheme="minorHAnsi"/>
        </w:rPr>
        <w:t>Emmerling, J., L. Drouet, L. A. Reis, et al., (2016). “The WITCH 2016 Model – Documentation and Implementation of the Shared Socioeconomic Pathways”, FEEM Note di Lavoro 42.2016.</w:t>
      </w:r>
    </w:p>
    <w:p w14:paraId="44FB0339" w14:textId="77777777" w:rsidR="00F703E0" w:rsidRPr="00DA5119" w:rsidRDefault="00F703E0" w:rsidP="00DA5119">
      <w:pPr>
        <w:ind w:left="-90"/>
        <w:rPr>
          <w:rFonts w:eastAsia="Times New Roman" w:cs="Times New Roman"/>
          <w:sz w:val="20"/>
          <w:szCs w:val="20"/>
          <w:lang w:val="en-US"/>
        </w:rPr>
      </w:pPr>
      <w:r w:rsidRPr="00DA5119">
        <w:br w:type="page"/>
      </w:r>
    </w:p>
    <w:p w14:paraId="5E3D3B85" w14:textId="77777777" w:rsidR="00F703E0" w:rsidRPr="00DA5119" w:rsidRDefault="00F703E0" w:rsidP="00DA5119">
      <w:pPr>
        <w:pStyle w:val="NoSpacing"/>
        <w:ind w:left="-90"/>
        <w:rPr>
          <w:b/>
          <w:sz w:val="20"/>
          <w:szCs w:val="20"/>
        </w:rPr>
      </w:pPr>
    </w:p>
    <w:p w14:paraId="6E214264" w14:textId="3CD1668E" w:rsidR="00F703E0" w:rsidRPr="00DA5119" w:rsidRDefault="00F703E0" w:rsidP="00DA5119">
      <w:pPr>
        <w:pStyle w:val="NoSpacing"/>
        <w:ind w:left="-90"/>
        <w:rPr>
          <w:sz w:val="20"/>
          <w:szCs w:val="20"/>
        </w:rPr>
      </w:pPr>
      <w:r w:rsidRPr="00DA5119">
        <w:rPr>
          <w:b/>
          <w:sz w:val="20"/>
          <w:szCs w:val="20"/>
        </w:rPr>
        <w:t>Table S1.2</w:t>
      </w:r>
      <w:r w:rsidRPr="00DA5119">
        <w:rPr>
          <w:sz w:val="20"/>
          <w:szCs w:val="20"/>
        </w:rPr>
        <w:t xml:space="preserve">: Included SLCF sources </w:t>
      </w:r>
      <w:r w:rsidR="004008BE" w:rsidRPr="00DA5119">
        <w:rPr>
          <w:sz w:val="20"/>
          <w:szCs w:val="20"/>
        </w:rPr>
        <w:t xml:space="preserve">of models </w:t>
      </w:r>
      <w:r w:rsidRPr="00DA5119">
        <w:rPr>
          <w:sz w:val="20"/>
          <w:szCs w:val="20"/>
        </w:rPr>
        <w:t>taking part in the EMF30 INDC analysis</w:t>
      </w:r>
      <w:r w:rsidR="004008BE" w:rsidRPr="00DA5119">
        <w:rPr>
          <w:sz w:val="20"/>
          <w:szCs w:val="20"/>
        </w:rPr>
        <w:t xml:space="preserve"> (all major CH</w:t>
      </w:r>
      <w:r w:rsidR="004008BE" w:rsidRPr="00DA5119">
        <w:rPr>
          <w:sz w:val="20"/>
          <w:szCs w:val="20"/>
          <w:vertAlign w:val="subscript"/>
        </w:rPr>
        <w:t>4</w:t>
      </w:r>
      <w:r w:rsidR="004008BE" w:rsidRPr="00DA5119">
        <w:rPr>
          <w:sz w:val="20"/>
          <w:szCs w:val="20"/>
        </w:rPr>
        <w:t xml:space="preserve"> and pollutant emissions included, the latter partly exogenous).</w:t>
      </w:r>
    </w:p>
    <w:tbl>
      <w:tblPr>
        <w:tblStyle w:val="LightShading-Accent1"/>
        <w:tblW w:w="5000" w:type="pct"/>
        <w:tblLayout w:type="fixed"/>
        <w:tblLook w:val="04A0" w:firstRow="1" w:lastRow="0" w:firstColumn="1" w:lastColumn="0" w:noHBand="0" w:noVBand="1"/>
      </w:tblPr>
      <w:tblGrid>
        <w:gridCol w:w="1662"/>
        <w:gridCol w:w="1539"/>
        <w:gridCol w:w="1094"/>
        <w:gridCol w:w="1219"/>
        <w:gridCol w:w="1219"/>
        <w:gridCol w:w="1223"/>
        <w:gridCol w:w="1116"/>
      </w:tblGrid>
      <w:tr w:rsidR="00F703E0" w:rsidRPr="00DA5119" w14:paraId="19DE7529" w14:textId="77777777" w:rsidTr="00F703E0">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916" w:type="pct"/>
            <w:tcBorders>
              <w:top w:val="none" w:sz="0" w:space="0" w:color="auto"/>
              <w:left w:val="none" w:sz="0" w:space="0" w:color="auto"/>
              <w:bottom w:val="none" w:sz="0" w:space="0" w:color="auto"/>
              <w:right w:val="none" w:sz="0" w:space="0" w:color="auto"/>
            </w:tcBorders>
          </w:tcPr>
          <w:p w14:paraId="0CFCF7CF" w14:textId="77777777" w:rsidR="00F703E0" w:rsidRPr="00DA5119" w:rsidRDefault="00F703E0" w:rsidP="00DA5119">
            <w:pPr>
              <w:ind w:left="-90"/>
              <w:jc w:val="both"/>
              <w:rPr>
                <w:sz w:val="16"/>
                <w:szCs w:val="20"/>
              </w:rPr>
            </w:pPr>
            <w:r w:rsidRPr="00DA5119">
              <w:rPr>
                <w:sz w:val="16"/>
                <w:szCs w:val="20"/>
              </w:rPr>
              <w:t>Model</w:t>
            </w:r>
          </w:p>
        </w:tc>
        <w:tc>
          <w:tcPr>
            <w:tcW w:w="848" w:type="pct"/>
            <w:tcBorders>
              <w:top w:val="none" w:sz="0" w:space="0" w:color="auto"/>
              <w:left w:val="none" w:sz="0" w:space="0" w:color="auto"/>
              <w:bottom w:val="none" w:sz="0" w:space="0" w:color="auto"/>
              <w:right w:val="none" w:sz="0" w:space="0" w:color="auto"/>
            </w:tcBorders>
          </w:tcPr>
          <w:p w14:paraId="4CAA023E" w14:textId="1AB1FC6E" w:rsidR="00F703E0" w:rsidRPr="00DA5119" w:rsidRDefault="00F703E0" w:rsidP="00DA5119">
            <w:pPr>
              <w:ind w:left="-90"/>
              <w:jc w:val="both"/>
              <w:cnfStyle w:val="100000000000" w:firstRow="1" w:lastRow="0" w:firstColumn="0" w:lastColumn="0" w:oddVBand="0" w:evenVBand="0" w:oddHBand="0" w:evenHBand="0" w:firstRowFirstColumn="0" w:firstRowLastColumn="0" w:lastRowFirstColumn="0" w:lastRowLastColumn="0"/>
              <w:rPr>
                <w:sz w:val="16"/>
                <w:szCs w:val="20"/>
              </w:rPr>
            </w:pPr>
            <w:r w:rsidRPr="00DA5119">
              <w:rPr>
                <w:sz w:val="16"/>
                <w:szCs w:val="20"/>
              </w:rPr>
              <w:t>Included species</w:t>
            </w:r>
          </w:p>
        </w:tc>
        <w:tc>
          <w:tcPr>
            <w:tcW w:w="603" w:type="pct"/>
            <w:tcBorders>
              <w:top w:val="none" w:sz="0" w:space="0" w:color="auto"/>
              <w:left w:val="none" w:sz="0" w:space="0" w:color="auto"/>
              <w:bottom w:val="none" w:sz="0" w:space="0" w:color="auto"/>
              <w:right w:val="none" w:sz="0" w:space="0" w:color="auto"/>
            </w:tcBorders>
          </w:tcPr>
          <w:p w14:paraId="5FBB6EE1" w14:textId="7C8D1D4D" w:rsidR="00F703E0" w:rsidRPr="00DA5119" w:rsidRDefault="00F703E0" w:rsidP="00DA5119">
            <w:pPr>
              <w:ind w:left="-90"/>
              <w:jc w:val="both"/>
              <w:cnfStyle w:val="100000000000" w:firstRow="1" w:lastRow="0" w:firstColumn="0" w:lastColumn="0" w:oddVBand="0" w:evenVBand="0" w:oddHBand="0" w:evenHBand="0" w:firstRowFirstColumn="0" w:firstRowLastColumn="0" w:lastRowFirstColumn="0" w:lastRowLastColumn="0"/>
              <w:rPr>
                <w:sz w:val="16"/>
                <w:szCs w:val="20"/>
              </w:rPr>
            </w:pPr>
            <w:r w:rsidRPr="00DA5119">
              <w:rPr>
                <w:sz w:val="16"/>
                <w:szCs w:val="20"/>
              </w:rPr>
              <w:t>Included CH</w:t>
            </w:r>
            <w:r w:rsidRPr="00DA5119">
              <w:rPr>
                <w:sz w:val="16"/>
                <w:szCs w:val="20"/>
                <w:vertAlign w:val="subscript"/>
              </w:rPr>
              <w:t>4</w:t>
            </w:r>
            <w:r w:rsidRPr="00DA5119">
              <w:rPr>
                <w:sz w:val="16"/>
                <w:szCs w:val="20"/>
              </w:rPr>
              <w:t xml:space="preserve"> sources *</w:t>
            </w:r>
          </w:p>
        </w:tc>
        <w:tc>
          <w:tcPr>
            <w:tcW w:w="672" w:type="pct"/>
            <w:tcBorders>
              <w:top w:val="none" w:sz="0" w:space="0" w:color="auto"/>
              <w:left w:val="none" w:sz="0" w:space="0" w:color="auto"/>
              <w:bottom w:val="none" w:sz="0" w:space="0" w:color="auto"/>
              <w:right w:val="none" w:sz="0" w:space="0" w:color="auto"/>
            </w:tcBorders>
          </w:tcPr>
          <w:p w14:paraId="6E204C0C" w14:textId="66B10720" w:rsidR="00F703E0" w:rsidRPr="00DA5119" w:rsidRDefault="00F703E0" w:rsidP="00DA5119">
            <w:pPr>
              <w:ind w:left="-90"/>
              <w:jc w:val="both"/>
              <w:cnfStyle w:val="100000000000" w:firstRow="1" w:lastRow="0" w:firstColumn="0" w:lastColumn="0" w:oddVBand="0" w:evenVBand="0" w:oddHBand="0" w:evenHBand="0" w:firstRowFirstColumn="0" w:firstRowLastColumn="0" w:lastRowFirstColumn="0" w:lastRowLastColumn="0"/>
              <w:rPr>
                <w:sz w:val="16"/>
                <w:szCs w:val="20"/>
              </w:rPr>
            </w:pPr>
            <w:r w:rsidRPr="00DA5119">
              <w:rPr>
                <w:sz w:val="16"/>
                <w:szCs w:val="20"/>
              </w:rPr>
              <w:t>Included pollutant sources</w:t>
            </w:r>
          </w:p>
        </w:tc>
        <w:tc>
          <w:tcPr>
            <w:tcW w:w="672" w:type="pct"/>
            <w:tcBorders>
              <w:top w:val="none" w:sz="0" w:space="0" w:color="auto"/>
              <w:left w:val="none" w:sz="0" w:space="0" w:color="auto"/>
              <w:bottom w:val="none" w:sz="0" w:space="0" w:color="auto"/>
              <w:right w:val="none" w:sz="0" w:space="0" w:color="auto"/>
            </w:tcBorders>
          </w:tcPr>
          <w:p w14:paraId="34998DCC" w14:textId="40D608E7" w:rsidR="00F703E0" w:rsidRPr="00DA5119" w:rsidRDefault="00F703E0" w:rsidP="00DA5119">
            <w:pPr>
              <w:ind w:left="-90"/>
              <w:jc w:val="both"/>
              <w:cnfStyle w:val="100000000000" w:firstRow="1" w:lastRow="0" w:firstColumn="0" w:lastColumn="0" w:oddVBand="0" w:evenVBand="0" w:oddHBand="0" w:evenHBand="0" w:firstRowFirstColumn="0" w:firstRowLastColumn="0" w:lastRowFirstColumn="0" w:lastRowLastColumn="0"/>
              <w:rPr>
                <w:sz w:val="16"/>
                <w:szCs w:val="20"/>
              </w:rPr>
            </w:pPr>
            <w:r w:rsidRPr="00DA5119">
              <w:rPr>
                <w:sz w:val="16"/>
                <w:szCs w:val="20"/>
              </w:rPr>
              <w:t>Calibration year</w:t>
            </w:r>
          </w:p>
        </w:tc>
        <w:tc>
          <w:tcPr>
            <w:tcW w:w="674" w:type="pct"/>
            <w:tcBorders>
              <w:top w:val="none" w:sz="0" w:space="0" w:color="auto"/>
              <w:left w:val="none" w:sz="0" w:space="0" w:color="auto"/>
              <w:bottom w:val="none" w:sz="0" w:space="0" w:color="auto"/>
              <w:right w:val="none" w:sz="0" w:space="0" w:color="auto"/>
            </w:tcBorders>
          </w:tcPr>
          <w:p w14:paraId="01E19FB5" w14:textId="5A8B6D80" w:rsidR="00F703E0" w:rsidRPr="00DA5119" w:rsidRDefault="00F703E0" w:rsidP="00DA5119">
            <w:pPr>
              <w:ind w:left="-90"/>
              <w:jc w:val="both"/>
              <w:cnfStyle w:val="100000000000" w:firstRow="1" w:lastRow="0" w:firstColumn="0" w:lastColumn="0" w:oddVBand="0" w:evenVBand="0" w:oddHBand="0" w:evenHBand="0" w:firstRowFirstColumn="0" w:firstRowLastColumn="0" w:lastRowFirstColumn="0" w:lastRowLastColumn="0"/>
              <w:rPr>
                <w:sz w:val="16"/>
                <w:szCs w:val="20"/>
              </w:rPr>
            </w:pPr>
            <w:r w:rsidRPr="00DA5119">
              <w:rPr>
                <w:sz w:val="16"/>
                <w:szCs w:val="20"/>
              </w:rPr>
              <w:t>Calibration reference</w:t>
            </w:r>
          </w:p>
        </w:tc>
        <w:tc>
          <w:tcPr>
            <w:tcW w:w="615" w:type="pct"/>
            <w:tcBorders>
              <w:top w:val="none" w:sz="0" w:space="0" w:color="auto"/>
              <w:left w:val="none" w:sz="0" w:space="0" w:color="auto"/>
              <w:bottom w:val="none" w:sz="0" w:space="0" w:color="auto"/>
              <w:right w:val="none" w:sz="0" w:space="0" w:color="auto"/>
            </w:tcBorders>
          </w:tcPr>
          <w:p w14:paraId="47B89900" w14:textId="12AA4397" w:rsidR="00F703E0" w:rsidRPr="00DA5119" w:rsidRDefault="00F703E0" w:rsidP="00DA5119">
            <w:pPr>
              <w:ind w:left="-90"/>
              <w:jc w:val="both"/>
              <w:cnfStyle w:val="100000000000" w:firstRow="1" w:lastRow="0" w:firstColumn="0" w:lastColumn="0" w:oddVBand="0" w:evenVBand="0" w:oddHBand="0" w:evenHBand="0" w:firstRowFirstColumn="0" w:firstRowLastColumn="0" w:lastRowFirstColumn="0" w:lastRowLastColumn="0"/>
              <w:rPr>
                <w:sz w:val="16"/>
                <w:szCs w:val="20"/>
              </w:rPr>
            </w:pPr>
            <w:r w:rsidRPr="00DA5119">
              <w:rPr>
                <w:sz w:val="16"/>
                <w:szCs w:val="20"/>
              </w:rPr>
              <w:t>GWP used (value for CH</w:t>
            </w:r>
            <w:r w:rsidRPr="00DA5119">
              <w:rPr>
                <w:sz w:val="16"/>
                <w:szCs w:val="20"/>
                <w:vertAlign w:val="subscript"/>
              </w:rPr>
              <w:t>4</w:t>
            </w:r>
            <w:r w:rsidRPr="00DA5119">
              <w:rPr>
                <w:sz w:val="16"/>
                <w:szCs w:val="20"/>
              </w:rPr>
              <w:t>)</w:t>
            </w:r>
          </w:p>
        </w:tc>
      </w:tr>
      <w:tr w:rsidR="00F703E0" w:rsidRPr="00DA5119" w14:paraId="42CCA48B" w14:textId="77777777" w:rsidTr="00F703E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16" w:type="pct"/>
            <w:tcBorders>
              <w:left w:val="none" w:sz="0" w:space="0" w:color="auto"/>
              <w:right w:val="none" w:sz="0" w:space="0" w:color="auto"/>
            </w:tcBorders>
          </w:tcPr>
          <w:p w14:paraId="0641528E" w14:textId="77777777" w:rsidR="00F703E0" w:rsidRPr="00DA5119" w:rsidRDefault="00F703E0" w:rsidP="00DA5119">
            <w:pPr>
              <w:pStyle w:val="NoSpacing"/>
              <w:ind w:left="-90"/>
              <w:rPr>
                <w:b w:val="0"/>
                <w:sz w:val="20"/>
                <w:szCs w:val="20"/>
              </w:rPr>
            </w:pPr>
            <w:r w:rsidRPr="00DA5119">
              <w:rPr>
                <w:b w:val="0"/>
                <w:sz w:val="20"/>
                <w:szCs w:val="20"/>
              </w:rPr>
              <w:t xml:space="preserve">AIM/CGE                     </w:t>
            </w:r>
          </w:p>
        </w:tc>
        <w:tc>
          <w:tcPr>
            <w:tcW w:w="848" w:type="pct"/>
            <w:tcBorders>
              <w:left w:val="none" w:sz="0" w:space="0" w:color="auto"/>
              <w:right w:val="none" w:sz="0" w:space="0" w:color="auto"/>
            </w:tcBorders>
          </w:tcPr>
          <w:p w14:paraId="6CF238C9" w14:textId="3B396CC9"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GHGs, BC, OC, NOx, SO2, CO, VOC, NH3</w:t>
            </w:r>
          </w:p>
        </w:tc>
        <w:tc>
          <w:tcPr>
            <w:tcW w:w="603" w:type="pct"/>
            <w:tcBorders>
              <w:left w:val="none" w:sz="0" w:space="0" w:color="auto"/>
              <w:right w:val="none" w:sz="0" w:space="0" w:color="auto"/>
            </w:tcBorders>
          </w:tcPr>
          <w:p w14:paraId="1308CEF5" w14:textId="3124D453"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All, except Def</w:t>
            </w:r>
          </w:p>
        </w:tc>
        <w:tc>
          <w:tcPr>
            <w:tcW w:w="672" w:type="pct"/>
            <w:tcBorders>
              <w:left w:val="none" w:sz="0" w:space="0" w:color="auto"/>
              <w:right w:val="none" w:sz="0" w:space="0" w:color="auto"/>
            </w:tcBorders>
          </w:tcPr>
          <w:p w14:paraId="25592D07" w14:textId="113A4B2D"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All</w:t>
            </w:r>
            <w:r w:rsidR="004008BE" w:rsidRPr="00DA5119">
              <w:rPr>
                <w:sz w:val="16"/>
                <w:szCs w:val="16"/>
              </w:rPr>
              <w:t>,</w:t>
            </w:r>
            <w:r w:rsidRPr="00DA5119">
              <w:rPr>
                <w:sz w:val="16"/>
                <w:szCs w:val="16"/>
              </w:rPr>
              <w:t xml:space="preserve"> except flaring</w:t>
            </w:r>
          </w:p>
        </w:tc>
        <w:tc>
          <w:tcPr>
            <w:tcW w:w="672" w:type="pct"/>
            <w:tcBorders>
              <w:left w:val="none" w:sz="0" w:space="0" w:color="auto"/>
              <w:right w:val="none" w:sz="0" w:space="0" w:color="auto"/>
            </w:tcBorders>
          </w:tcPr>
          <w:p w14:paraId="53F8376A" w14:textId="68126929"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2005</w:t>
            </w:r>
          </w:p>
        </w:tc>
        <w:tc>
          <w:tcPr>
            <w:tcW w:w="674" w:type="pct"/>
            <w:tcBorders>
              <w:left w:val="none" w:sz="0" w:space="0" w:color="auto"/>
              <w:right w:val="none" w:sz="0" w:space="0" w:color="auto"/>
            </w:tcBorders>
          </w:tcPr>
          <w:p w14:paraId="7472B000" w14:textId="751D15FA"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EDGAR V4.2</w:t>
            </w:r>
          </w:p>
        </w:tc>
        <w:tc>
          <w:tcPr>
            <w:tcW w:w="615" w:type="pct"/>
            <w:tcBorders>
              <w:left w:val="none" w:sz="0" w:space="0" w:color="auto"/>
              <w:right w:val="none" w:sz="0" w:space="0" w:color="auto"/>
            </w:tcBorders>
          </w:tcPr>
          <w:p w14:paraId="6ED6EFAD" w14:textId="115230B5"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AR4 100 year GWP (25)</w:t>
            </w:r>
          </w:p>
        </w:tc>
      </w:tr>
      <w:tr w:rsidR="00F703E0" w:rsidRPr="00DA5119" w14:paraId="48F993BD" w14:textId="77777777" w:rsidTr="00F703E0">
        <w:trPr>
          <w:trHeight w:val="232"/>
        </w:trPr>
        <w:tc>
          <w:tcPr>
            <w:cnfStyle w:val="001000000000" w:firstRow="0" w:lastRow="0" w:firstColumn="1" w:lastColumn="0" w:oddVBand="0" w:evenVBand="0" w:oddHBand="0" w:evenHBand="0" w:firstRowFirstColumn="0" w:firstRowLastColumn="0" w:lastRowFirstColumn="0" w:lastRowLastColumn="0"/>
            <w:tcW w:w="916" w:type="pct"/>
          </w:tcPr>
          <w:p w14:paraId="3FD13B11" w14:textId="77777777" w:rsidR="00F703E0" w:rsidRPr="00DA5119" w:rsidRDefault="00F703E0" w:rsidP="00DA5119">
            <w:pPr>
              <w:pStyle w:val="NoSpacing"/>
              <w:ind w:left="-90"/>
              <w:rPr>
                <w:b w:val="0"/>
                <w:sz w:val="20"/>
                <w:szCs w:val="20"/>
              </w:rPr>
            </w:pPr>
            <w:r w:rsidRPr="00DA5119">
              <w:rPr>
                <w:b w:val="0"/>
                <w:sz w:val="20"/>
                <w:szCs w:val="20"/>
              </w:rPr>
              <w:t xml:space="preserve">DNE21+  </w:t>
            </w:r>
          </w:p>
        </w:tc>
        <w:tc>
          <w:tcPr>
            <w:tcW w:w="848" w:type="pct"/>
          </w:tcPr>
          <w:p w14:paraId="02534053" w14:textId="225EBE2C"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GHGs, BC, OC, NOx, SO2, CO, VOC, NH3</w:t>
            </w:r>
          </w:p>
        </w:tc>
        <w:tc>
          <w:tcPr>
            <w:tcW w:w="603" w:type="pct"/>
          </w:tcPr>
          <w:p w14:paraId="58D3DB75" w14:textId="23795F8C"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All, except Def, IS and IA</w:t>
            </w:r>
          </w:p>
        </w:tc>
        <w:tc>
          <w:tcPr>
            <w:tcW w:w="672" w:type="pct"/>
          </w:tcPr>
          <w:p w14:paraId="3792B1ED" w14:textId="05A87DCA"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All, but exogenous for NOx, SO2, CO, VOC, NH3 and BC, OC from land-use</w:t>
            </w:r>
          </w:p>
        </w:tc>
        <w:tc>
          <w:tcPr>
            <w:tcW w:w="672" w:type="pct"/>
          </w:tcPr>
          <w:p w14:paraId="52970101" w14:textId="692124EE"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2010</w:t>
            </w:r>
          </w:p>
        </w:tc>
        <w:tc>
          <w:tcPr>
            <w:tcW w:w="674" w:type="pct"/>
          </w:tcPr>
          <w:p w14:paraId="060E539E" w14:textId="0E373F2F"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UNFCCC (2014), IEA (2014)</w:t>
            </w:r>
          </w:p>
        </w:tc>
        <w:tc>
          <w:tcPr>
            <w:tcW w:w="615" w:type="pct"/>
          </w:tcPr>
          <w:p w14:paraId="6EAA761D" w14:textId="56454EC9"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SAR 100 year GWP (21)</w:t>
            </w:r>
          </w:p>
        </w:tc>
      </w:tr>
      <w:tr w:rsidR="00F703E0" w:rsidRPr="00DA5119" w14:paraId="2F430D4E" w14:textId="77777777" w:rsidTr="00F703E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916" w:type="pct"/>
            <w:tcBorders>
              <w:left w:val="none" w:sz="0" w:space="0" w:color="auto"/>
              <w:right w:val="none" w:sz="0" w:space="0" w:color="auto"/>
            </w:tcBorders>
          </w:tcPr>
          <w:p w14:paraId="29A582CB" w14:textId="77777777" w:rsidR="00F703E0" w:rsidRPr="00DA5119" w:rsidRDefault="00F703E0" w:rsidP="00DA5119">
            <w:pPr>
              <w:pStyle w:val="NoSpacing"/>
              <w:ind w:left="-90"/>
              <w:rPr>
                <w:b w:val="0"/>
                <w:sz w:val="20"/>
                <w:szCs w:val="20"/>
              </w:rPr>
            </w:pPr>
            <w:r w:rsidRPr="00DA5119">
              <w:rPr>
                <w:b w:val="0"/>
                <w:sz w:val="20"/>
                <w:szCs w:val="20"/>
              </w:rPr>
              <w:t>ENV-Linkages</w:t>
            </w:r>
          </w:p>
        </w:tc>
        <w:tc>
          <w:tcPr>
            <w:tcW w:w="848" w:type="pct"/>
            <w:tcBorders>
              <w:left w:val="none" w:sz="0" w:space="0" w:color="auto"/>
              <w:right w:val="none" w:sz="0" w:space="0" w:color="auto"/>
            </w:tcBorders>
          </w:tcPr>
          <w:p w14:paraId="38BF8188" w14:textId="50E8A85D"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GHGs, BC, OC, NOx, SO2, CO, VOC, NH3</w:t>
            </w:r>
          </w:p>
        </w:tc>
        <w:tc>
          <w:tcPr>
            <w:tcW w:w="603" w:type="pct"/>
            <w:tcBorders>
              <w:left w:val="none" w:sz="0" w:space="0" w:color="auto"/>
              <w:right w:val="none" w:sz="0" w:space="0" w:color="auto"/>
            </w:tcBorders>
          </w:tcPr>
          <w:p w14:paraId="4D976403" w14:textId="4ED7680C"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All</w:t>
            </w:r>
          </w:p>
        </w:tc>
        <w:tc>
          <w:tcPr>
            <w:tcW w:w="672" w:type="pct"/>
            <w:tcBorders>
              <w:left w:val="none" w:sz="0" w:space="0" w:color="auto"/>
              <w:right w:val="none" w:sz="0" w:space="0" w:color="auto"/>
            </w:tcBorders>
          </w:tcPr>
          <w:p w14:paraId="26E370F1" w14:textId="5CEF575A"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All</w:t>
            </w:r>
          </w:p>
        </w:tc>
        <w:tc>
          <w:tcPr>
            <w:tcW w:w="672" w:type="pct"/>
            <w:tcBorders>
              <w:left w:val="none" w:sz="0" w:space="0" w:color="auto"/>
              <w:right w:val="none" w:sz="0" w:space="0" w:color="auto"/>
            </w:tcBorders>
          </w:tcPr>
          <w:p w14:paraId="43E49EC2" w14:textId="11C0A76B"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2010</w:t>
            </w:r>
          </w:p>
        </w:tc>
        <w:tc>
          <w:tcPr>
            <w:tcW w:w="674" w:type="pct"/>
            <w:tcBorders>
              <w:left w:val="none" w:sz="0" w:space="0" w:color="auto"/>
              <w:right w:val="none" w:sz="0" w:space="0" w:color="auto"/>
            </w:tcBorders>
          </w:tcPr>
          <w:p w14:paraId="34AB3FE2" w14:textId="0982CCFE"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EDGAR V4.2, GTAP, US-EPA</w:t>
            </w:r>
          </w:p>
        </w:tc>
        <w:tc>
          <w:tcPr>
            <w:tcW w:w="615" w:type="pct"/>
            <w:tcBorders>
              <w:left w:val="none" w:sz="0" w:space="0" w:color="auto"/>
              <w:right w:val="none" w:sz="0" w:space="0" w:color="auto"/>
            </w:tcBorders>
          </w:tcPr>
          <w:p w14:paraId="28BE9EEA" w14:textId="44B79972"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SAR 100 year GWP (21)</w:t>
            </w:r>
          </w:p>
        </w:tc>
      </w:tr>
      <w:tr w:rsidR="00F703E0" w:rsidRPr="00DA5119" w14:paraId="31CB698D" w14:textId="77777777" w:rsidTr="00F703E0">
        <w:trPr>
          <w:trHeight w:val="232"/>
        </w:trPr>
        <w:tc>
          <w:tcPr>
            <w:cnfStyle w:val="001000000000" w:firstRow="0" w:lastRow="0" w:firstColumn="1" w:lastColumn="0" w:oddVBand="0" w:evenVBand="0" w:oddHBand="0" w:evenHBand="0" w:firstRowFirstColumn="0" w:firstRowLastColumn="0" w:lastRowFirstColumn="0" w:lastRowLastColumn="0"/>
            <w:tcW w:w="916" w:type="pct"/>
          </w:tcPr>
          <w:p w14:paraId="3A62250E" w14:textId="77777777" w:rsidR="00F703E0" w:rsidRPr="00DA5119" w:rsidRDefault="00F703E0" w:rsidP="00DA5119">
            <w:pPr>
              <w:pStyle w:val="NoSpacing"/>
              <w:ind w:left="-90"/>
              <w:rPr>
                <w:b w:val="0"/>
                <w:sz w:val="20"/>
                <w:szCs w:val="20"/>
              </w:rPr>
            </w:pPr>
            <w:r w:rsidRPr="00DA5119">
              <w:rPr>
                <w:b w:val="0"/>
                <w:sz w:val="20"/>
                <w:szCs w:val="20"/>
              </w:rPr>
              <w:t xml:space="preserve">IMAGE                          </w:t>
            </w:r>
          </w:p>
        </w:tc>
        <w:tc>
          <w:tcPr>
            <w:tcW w:w="848" w:type="pct"/>
          </w:tcPr>
          <w:p w14:paraId="15F3EA02" w14:textId="64DADEEB"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GHGs, BC, OC, NOx, SO2, CO, VOC, NH3</w:t>
            </w:r>
          </w:p>
        </w:tc>
        <w:tc>
          <w:tcPr>
            <w:tcW w:w="603" w:type="pct"/>
          </w:tcPr>
          <w:p w14:paraId="62345B02" w14:textId="25D921D7"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All</w:t>
            </w:r>
          </w:p>
        </w:tc>
        <w:tc>
          <w:tcPr>
            <w:tcW w:w="672" w:type="pct"/>
          </w:tcPr>
          <w:p w14:paraId="3D4958C2" w14:textId="3C139B13"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All</w:t>
            </w:r>
          </w:p>
        </w:tc>
        <w:tc>
          <w:tcPr>
            <w:tcW w:w="672" w:type="pct"/>
          </w:tcPr>
          <w:p w14:paraId="0D943C2A" w14:textId="7E708272"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2010</w:t>
            </w:r>
          </w:p>
        </w:tc>
        <w:tc>
          <w:tcPr>
            <w:tcW w:w="674" w:type="pct"/>
          </w:tcPr>
          <w:p w14:paraId="0AD4C1F8" w14:textId="2FE84A88"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EDGAR V4.2, RCP</w:t>
            </w:r>
          </w:p>
        </w:tc>
        <w:tc>
          <w:tcPr>
            <w:tcW w:w="615" w:type="pct"/>
          </w:tcPr>
          <w:p w14:paraId="1F220F1A" w14:textId="32F25978"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AR4 100 year GWP (25)</w:t>
            </w:r>
          </w:p>
        </w:tc>
      </w:tr>
      <w:tr w:rsidR="00F703E0" w:rsidRPr="00DA5119" w14:paraId="1E97F889" w14:textId="77777777" w:rsidTr="00F703E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16" w:type="pct"/>
            <w:tcBorders>
              <w:left w:val="none" w:sz="0" w:space="0" w:color="auto"/>
              <w:right w:val="none" w:sz="0" w:space="0" w:color="auto"/>
            </w:tcBorders>
          </w:tcPr>
          <w:p w14:paraId="639D0815" w14:textId="77777777" w:rsidR="00F703E0" w:rsidRPr="00DA5119" w:rsidRDefault="00F703E0" w:rsidP="00DA5119">
            <w:pPr>
              <w:pStyle w:val="NoSpacing"/>
              <w:ind w:left="-90"/>
              <w:rPr>
                <w:b w:val="0"/>
                <w:sz w:val="20"/>
                <w:szCs w:val="20"/>
              </w:rPr>
            </w:pPr>
            <w:r w:rsidRPr="00DA5119">
              <w:rPr>
                <w:b w:val="0"/>
                <w:sz w:val="20"/>
                <w:szCs w:val="20"/>
              </w:rPr>
              <w:t xml:space="preserve">MESSAGE-GLOBIOM                     </w:t>
            </w:r>
          </w:p>
        </w:tc>
        <w:tc>
          <w:tcPr>
            <w:tcW w:w="848" w:type="pct"/>
            <w:tcBorders>
              <w:left w:val="none" w:sz="0" w:space="0" w:color="auto"/>
              <w:right w:val="none" w:sz="0" w:space="0" w:color="auto"/>
            </w:tcBorders>
          </w:tcPr>
          <w:p w14:paraId="447106C9" w14:textId="39DE794F"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GHGs, BC, OC, NOx, SO2, CO, VOC, NH3</w:t>
            </w:r>
          </w:p>
        </w:tc>
        <w:tc>
          <w:tcPr>
            <w:tcW w:w="603" w:type="pct"/>
            <w:tcBorders>
              <w:left w:val="none" w:sz="0" w:space="0" w:color="auto"/>
              <w:right w:val="none" w:sz="0" w:space="0" w:color="auto"/>
            </w:tcBorders>
          </w:tcPr>
          <w:p w14:paraId="1A4C00DF" w14:textId="49650B58"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All, except IP</w:t>
            </w:r>
          </w:p>
        </w:tc>
        <w:tc>
          <w:tcPr>
            <w:tcW w:w="672" w:type="pct"/>
            <w:tcBorders>
              <w:left w:val="none" w:sz="0" w:space="0" w:color="auto"/>
              <w:right w:val="none" w:sz="0" w:space="0" w:color="auto"/>
            </w:tcBorders>
          </w:tcPr>
          <w:p w14:paraId="1E9F0C76" w14:textId="2F5B5138"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All, except industrial processes / non-energy processes</w:t>
            </w:r>
          </w:p>
        </w:tc>
        <w:tc>
          <w:tcPr>
            <w:tcW w:w="672" w:type="pct"/>
            <w:tcBorders>
              <w:left w:val="none" w:sz="0" w:space="0" w:color="auto"/>
              <w:right w:val="none" w:sz="0" w:space="0" w:color="auto"/>
            </w:tcBorders>
          </w:tcPr>
          <w:p w14:paraId="70CA2C6C" w14:textId="41DEE25E"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2010</w:t>
            </w:r>
          </w:p>
        </w:tc>
        <w:tc>
          <w:tcPr>
            <w:tcW w:w="674" w:type="pct"/>
            <w:tcBorders>
              <w:left w:val="none" w:sz="0" w:space="0" w:color="auto"/>
              <w:right w:val="none" w:sz="0" w:space="0" w:color="auto"/>
            </w:tcBorders>
          </w:tcPr>
          <w:p w14:paraId="17171B08" w14:textId="16A27BC8"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US-EPA, FAOSTAT</w:t>
            </w:r>
          </w:p>
        </w:tc>
        <w:tc>
          <w:tcPr>
            <w:tcW w:w="615" w:type="pct"/>
            <w:tcBorders>
              <w:left w:val="none" w:sz="0" w:space="0" w:color="auto"/>
              <w:right w:val="none" w:sz="0" w:space="0" w:color="auto"/>
            </w:tcBorders>
          </w:tcPr>
          <w:p w14:paraId="6C74B5AE" w14:textId="50422497"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AR4 100 year GWP (25)</w:t>
            </w:r>
          </w:p>
        </w:tc>
      </w:tr>
      <w:tr w:rsidR="00F703E0" w:rsidRPr="00DA5119" w14:paraId="3B11A147" w14:textId="77777777" w:rsidTr="00F703E0">
        <w:trPr>
          <w:trHeight w:val="232"/>
        </w:trPr>
        <w:tc>
          <w:tcPr>
            <w:cnfStyle w:val="001000000000" w:firstRow="0" w:lastRow="0" w:firstColumn="1" w:lastColumn="0" w:oddVBand="0" w:evenVBand="0" w:oddHBand="0" w:evenHBand="0" w:firstRowFirstColumn="0" w:firstRowLastColumn="0" w:lastRowFirstColumn="0" w:lastRowLastColumn="0"/>
            <w:tcW w:w="916" w:type="pct"/>
          </w:tcPr>
          <w:p w14:paraId="47265711" w14:textId="77777777" w:rsidR="00F703E0" w:rsidRPr="00DA5119" w:rsidRDefault="00F703E0" w:rsidP="00DA5119">
            <w:pPr>
              <w:pStyle w:val="NoSpacing"/>
              <w:ind w:left="-90"/>
              <w:rPr>
                <w:b w:val="0"/>
                <w:sz w:val="20"/>
                <w:szCs w:val="20"/>
              </w:rPr>
            </w:pPr>
            <w:r w:rsidRPr="00DA5119">
              <w:rPr>
                <w:b w:val="0"/>
                <w:sz w:val="20"/>
                <w:szCs w:val="20"/>
              </w:rPr>
              <w:t xml:space="preserve">POLES                          </w:t>
            </w:r>
          </w:p>
        </w:tc>
        <w:tc>
          <w:tcPr>
            <w:tcW w:w="848" w:type="pct"/>
          </w:tcPr>
          <w:p w14:paraId="02191F5B" w14:textId="5D656F5A"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GHGs, BC, OC, NOx, SO2, CO, VOC, NH3</w:t>
            </w:r>
          </w:p>
        </w:tc>
        <w:tc>
          <w:tcPr>
            <w:tcW w:w="603" w:type="pct"/>
          </w:tcPr>
          <w:p w14:paraId="24E702F7" w14:textId="3F1E225D"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All, except IP, IS, IA and parts of ED</w:t>
            </w:r>
          </w:p>
        </w:tc>
        <w:tc>
          <w:tcPr>
            <w:tcW w:w="672" w:type="pct"/>
          </w:tcPr>
          <w:p w14:paraId="66E9D3E8" w14:textId="6EF5B55A" w:rsidR="00F703E0" w:rsidRPr="00DA5119" w:rsidRDefault="004008BE"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All</w:t>
            </w:r>
          </w:p>
        </w:tc>
        <w:tc>
          <w:tcPr>
            <w:tcW w:w="672" w:type="pct"/>
          </w:tcPr>
          <w:p w14:paraId="4D6984C3" w14:textId="56ADDC50"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1990-2015</w:t>
            </w:r>
          </w:p>
        </w:tc>
        <w:tc>
          <w:tcPr>
            <w:tcW w:w="674" w:type="pct"/>
          </w:tcPr>
          <w:p w14:paraId="64170E2B" w14:textId="1B7948F0"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UNFCCC, EDGAR V4.2, GLOBIOM look-up</w:t>
            </w:r>
          </w:p>
        </w:tc>
        <w:tc>
          <w:tcPr>
            <w:tcW w:w="615" w:type="pct"/>
          </w:tcPr>
          <w:p w14:paraId="638785F3" w14:textId="0CCFEEA3" w:rsidR="00F703E0" w:rsidRPr="00DA5119" w:rsidRDefault="00F703E0" w:rsidP="00DA5119">
            <w:pPr>
              <w:pStyle w:val="NoSpacing"/>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AR5 100 year GWP (34)</w:t>
            </w:r>
          </w:p>
        </w:tc>
      </w:tr>
      <w:tr w:rsidR="00F703E0" w:rsidRPr="00DA5119" w14:paraId="72174705" w14:textId="77777777" w:rsidTr="00F703E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916" w:type="pct"/>
            <w:tcBorders>
              <w:left w:val="none" w:sz="0" w:space="0" w:color="auto"/>
              <w:right w:val="none" w:sz="0" w:space="0" w:color="auto"/>
            </w:tcBorders>
          </w:tcPr>
          <w:p w14:paraId="2E64E5A7" w14:textId="77777777" w:rsidR="00F703E0" w:rsidRPr="00DA5119" w:rsidRDefault="00F703E0" w:rsidP="00DA5119">
            <w:pPr>
              <w:pStyle w:val="NoSpacing"/>
              <w:ind w:left="-90"/>
              <w:rPr>
                <w:b w:val="0"/>
                <w:sz w:val="20"/>
                <w:szCs w:val="20"/>
              </w:rPr>
            </w:pPr>
            <w:r w:rsidRPr="00DA5119">
              <w:rPr>
                <w:b w:val="0"/>
                <w:sz w:val="20"/>
                <w:szCs w:val="20"/>
              </w:rPr>
              <w:t xml:space="preserve">REMIND                       </w:t>
            </w:r>
          </w:p>
        </w:tc>
        <w:tc>
          <w:tcPr>
            <w:tcW w:w="848" w:type="pct"/>
            <w:tcBorders>
              <w:left w:val="none" w:sz="0" w:space="0" w:color="auto"/>
              <w:right w:val="none" w:sz="0" w:space="0" w:color="auto"/>
            </w:tcBorders>
          </w:tcPr>
          <w:p w14:paraId="319111BC" w14:textId="1DA5115A"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GHGs, BC, OC, NOx, SO2, CO, VOC</w:t>
            </w:r>
          </w:p>
        </w:tc>
        <w:tc>
          <w:tcPr>
            <w:tcW w:w="603" w:type="pct"/>
            <w:tcBorders>
              <w:left w:val="none" w:sz="0" w:space="0" w:color="auto"/>
              <w:right w:val="none" w:sz="0" w:space="0" w:color="auto"/>
            </w:tcBorders>
          </w:tcPr>
          <w:p w14:paraId="6FCB0EBB" w14:textId="18D4AA2C"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All, except IP, Def and ED</w:t>
            </w:r>
          </w:p>
        </w:tc>
        <w:tc>
          <w:tcPr>
            <w:tcW w:w="672" w:type="pct"/>
            <w:tcBorders>
              <w:left w:val="none" w:sz="0" w:space="0" w:color="auto"/>
              <w:right w:val="none" w:sz="0" w:space="0" w:color="auto"/>
            </w:tcBorders>
          </w:tcPr>
          <w:p w14:paraId="6E0C046C" w14:textId="2E7D4ECD" w:rsidR="00F703E0" w:rsidRPr="00DA5119" w:rsidRDefault="004008BE"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All, but industry exogenous</w:t>
            </w:r>
          </w:p>
        </w:tc>
        <w:tc>
          <w:tcPr>
            <w:tcW w:w="672" w:type="pct"/>
            <w:tcBorders>
              <w:left w:val="none" w:sz="0" w:space="0" w:color="auto"/>
              <w:right w:val="none" w:sz="0" w:space="0" w:color="auto"/>
            </w:tcBorders>
          </w:tcPr>
          <w:p w14:paraId="5C011EAF" w14:textId="33736C3C"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2010</w:t>
            </w:r>
          </w:p>
        </w:tc>
        <w:tc>
          <w:tcPr>
            <w:tcW w:w="674" w:type="pct"/>
            <w:tcBorders>
              <w:left w:val="none" w:sz="0" w:space="0" w:color="auto"/>
              <w:right w:val="none" w:sz="0" w:space="0" w:color="auto"/>
            </w:tcBorders>
          </w:tcPr>
          <w:p w14:paraId="3202F811" w14:textId="42FD9048"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EDGAR V4.2</w:t>
            </w:r>
          </w:p>
        </w:tc>
        <w:tc>
          <w:tcPr>
            <w:tcW w:w="615" w:type="pct"/>
            <w:tcBorders>
              <w:left w:val="none" w:sz="0" w:space="0" w:color="auto"/>
              <w:right w:val="none" w:sz="0" w:space="0" w:color="auto"/>
            </w:tcBorders>
          </w:tcPr>
          <w:p w14:paraId="36F36B82" w14:textId="32AEC04F" w:rsidR="00F703E0" w:rsidRPr="00DA5119" w:rsidRDefault="00F703E0" w:rsidP="00DA5119">
            <w:pPr>
              <w:pStyle w:val="NoSpacing"/>
              <w:ind w:left="-90"/>
              <w:cnfStyle w:val="000000100000" w:firstRow="0" w:lastRow="0" w:firstColumn="0" w:lastColumn="0" w:oddVBand="0" w:evenVBand="0" w:oddHBand="1" w:evenHBand="0" w:firstRowFirstColumn="0" w:firstRowLastColumn="0" w:lastRowFirstColumn="0" w:lastRowLastColumn="0"/>
              <w:rPr>
                <w:sz w:val="16"/>
                <w:szCs w:val="16"/>
              </w:rPr>
            </w:pPr>
            <w:r w:rsidRPr="00DA5119">
              <w:rPr>
                <w:sz w:val="16"/>
                <w:szCs w:val="16"/>
              </w:rPr>
              <w:t>AR4 100 year GWP (25)</w:t>
            </w:r>
          </w:p>
        </w:tc>
      </w:tr>
      <w:tr w:rsidR="00F703E0" w:rsidRPr="00DA5119" w14:paraId="0AD9645D" w14:textId="77777777" w:rsidTr="00F703E0">
        <w:trPr>
          <w:trHeight w:val="232"/>
        </w:trPr>
        <w:tc>
          <w:tcPr>
            <w:cnfStyle w:val="001000000000" w:firstRow="0" w:lastRow="0" w:firstColumn="1" w:lastColumn="0" w:oddVBand="0" w:evenVBand="0" w:oddHBand="0" w:evenHBand="0" w:firstRowFirstColumn="0" w:firstRowLastColumn="0" w:lastRowFirstColumn="0" w:lastRowLastColumn="0"/>
            <w:tcW w:w="916" w:type="pct"/>
          </w:tcPr>
          <w:p w14:paraId="020C6F99" w14:textId="77777777" w:rsidR="00F703E0" w:rsidRPr="00DA5119" w:rsidRDefault="00F703E0" w:rsidP="00DA5119">
            <w:pPr>
              <w:ind w:left="-90"/>
              <w:rPr>
                <w:b w:val="0"/>
                <w:sz w:val="20"/>
                <w:szCs w:val="20"/>
              </w:rPr>
            </w:pPr>
            <w:r w:rsidRPr="00DA5119">
              <w:rPr>
                <w:b w:val="0"/>
                <w:sz w:val="20"/>
                <w:szCs w:val="20"/>
              </w:rPr>
              <w:t xml:space="preserve">WITCH-GLOBIOM                         </w:t>
            </w:r>
          </w:p>
        </w:tc>
        <w:tc>
          <w:tcPr>
            <w:tcW w:w="848" w:type="pct"/>
          </w:tcPr>
          <w:p w14:paraId="41D24896" w14:textId="7FA4AD2A" w:rsidR="00F703E0" w:rsidRPr="00DA5119" w:rsidRDefault="00F703E0" w:rsidP="00DA5119">
            <w:pPr>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GHGs, BC, OC, NOx, SO2, CO, VOC, NH3</w:t>
            </w:r>
          </w:p>
        </w:tc>
        <w:tc>
          <w:tcPr>
            <w:tcW w:w="603" w:type="pct"/>
          </w:tcPr>
          <w:p w14:paraId="3221FFE6" w14:textId="2329EEB9" w:rsidR="00F703E0" w:rsidRPr="00DA5119" w:rsidRDefault="00071D39" w:rsidP="00DA5119">
            <w:pPr>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All, except IP</w:t>
            </w:r>
          </w:p>
        </w:tc>
        <w:tc>
          <w:tcPr>
            <w:tcW w:w="672" w:type="pct"/>
          </w:tcPr>
          <w:p w14:paraId="0B965721" w14:textId="07897D2E" w:rsidR="00F703E0" w:rsidRPr="00DA5119" w:rsidRDefault="004008BE" w:rsidP="00DA5119">
            <w:pPr>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All, except non-energy emissions exogenous</w:t>
            </w:r>
          </w:p>
        </w:tc>
        <w:tc>
          <w:tcPr>
            <w:tcW w:w="672" w:type="pct"/>
          </w:tcPr>
          <w:p w14:paraId="5D62E0B0" w14:textId="5E12A023" w:rsidR="00F703E0" w:rsidRPr="00DA5119" w:rsidRDefault="00F703E0" w:rsidP="00DA5119">
            <w:pPr>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2005-2010</w:t>
            </w:r>
          </w:p>
        </w:tc>
        <w:tc>
          <w:tcPr>
            <w:tcW w:w="674" w:type="pct"/>
          </w:tcPr>
          <w:p w14:paraId="3552B161" w14:textId="601F966E" w:rsidR="00F703E0" w:rsidRPr="00DA5119" w:rsidRDefault="00071D39" w:rsidP="00DA5119">
            <w:pPr>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EDGAR V4.2, RCP</w:t>
            </w:r>
          </w:p>
        </w:tc>
        <w:tc>
          <w:tcPr>
            <w:tcW w:w="615" w:type="pct"/>
          </w:tcPr>
          <w:p w14:paraId="406BB03A" w14:textId="2D868756" w:rsidR="00F703E0" w:rsidRPr="00DA5119" w:rsidRDefault="00F703E0" w:rsidP="00DA5119">
            <w:pPr>
              <w:ind w:left="-90"/>
              <w:cnfStyle w:val="000000000000" w:firstRow="0" w:lastRow="0" w:firstColumn="0" w:lastColumn="0" w:oddVBand="0" w:evenVBand="0" w:oddHBand="0" w:evenHBand="0" w:firstRowFirstColumn="0" w:firstRowLastColumn="0" w:lastRowFirstColumn="0" w:lastRowLastColumn="0"/>
              <w:rPr>
                <w:sz w:val="16"/>
                <w:szCs w:val="16"/>
              </w:rPr>
            </w:pPr>
            <w:r w:rsidRPr="00DA5119">
              <w:rPr>
                <w:sz w:val="16"/>
                <w:szCs w:val="16"/>
              </w:rPr>
              <w:t>AR4 100 year GWP (25)</w:t>
            </w:r>
          </w:p>
        </w:tc>
      </w:tr>
    </w:tbl>
    <w:p w14:paraId="4DDE55DD" w14:textId="77777777" w:rsidR="00F703E0" w:rsidRPr="00DA5119" w:rsidRDefault="00F703E0" w:rsidP="00DA5119">
      <w:pPr>
        <w:ind w:left="-90"/>
        <w:rPr>
          <w:sz w:val="20"/>
          <w:lang w:val="en-US"/>
        </w:rPr>
      </w:pPr>
      <w:r w:rsidRPr="00DA5119">
        <w:rPr>
          <w:sz w:val="20"/>
          <w:lang w:val="en-US"/>
        </w:rPr>
        <w:t>* ES = Energy Supply, Agr = Agriculture, W = Waste, IP = Industrial Processes, ED = Energy Demand, Def = Deforestation, IS = International shipping, IA = International Aviation, All = All anthropogenic sources</w:t>
      </w:r>
    </w:p>
    <w:p w14:paraId="36684E91" w14:textId="77777777" w:rsidR="008036FA" w:rsidRPr="00DA5119" w:rsidRDefault="008036FA" w:rsidP="00DA5119">
      <w:pPr>
        <w:pStyle w:val="References"/>
        <w:ind w:left="-90"/>
        <w:rPr>
          <w:rFonts w:asciiTheme="minorHAnsi" w:hAnsiTheme="minorHAnsi"/>
        </w:rPr>
      </w:pPr>
    </w:p>
    <w:p w14:paraId="12937E43" w14:textId="08D8240E" w:rsidR="009D243C" w:rsidRPr="00DA5119" w:rsidRDefault="005840A4" w:rsidP="00DA5119">
      <w:pPr>
        <w:ind w:left="-90"/>
        <w:rPr>
          <w:lang w:val="en-US"/>
        </w:rPr>
      </w:pPr>
      <w:r w:rsidRPr="00DA5119">
        <w:rPr>
          <w:lang w:val="en-US"/>
        </w:rPr>
        <w:br w:type="page"/>
      </w:r>
    </w:p>
    <w:p w14:paraId="66EBF012" w14:textId="3EE1A625" w:rsidR="009D243C" w:rsidRPr="00DA5119" w:rsidRDefault="009D243C" w:rsidP="00DA5119">
      <w:pPr>
        <w:pStyle w:val="NoSpacing"/>
        <w:ind w:left="-90"/>
      </w:pPr>
      <w:r w:rsidRPr="00DA5119">
        <w:rPr>
          <w:b/>
          <w:sz w:val="20"/>
          <w:szCs w:val="20"/>
        </w:rPr>
        <w:lastRenderedPageBreak/>
        <w:t>Table S1.3</w:t>
      </w:r>
      <w:r w:rsidRPr="00DA5119">
        <w:rPr>
          <w:sz w:val="20"/>
          <w:szCs w:val="20"/>
        </w:rPr>
        <w:t xml:space="preserve">: Included sectors of models taking part in the EMF30 INDC analysis (light green shaded is partly included, orange shaded is not included or exogenous emissions). </w:t>
      </w:r>
    </w:p>
    <w:tbl>
      <w:tblPr>
        <w:tblStyle w:val="ListTable2-Accent11"/>
        <w:tblW w:w="10123" w:type="dxa"/>
        <w:tblLayout w:type="fixed"/>
        <w:tblLook w:val="0000" w:firstRow="0" w:lastRow="0" w:firstColumn="0" w:lastColumn="0" w:noHBand="0" w:noVBand="0"/>
      </w:tblPr>
      <w:tblGrid>
        <w:gridCol w:w="720"/>
        <w:gridCol w:w="1260"/>
        <w:gridCol w:w="630"/>
        <w:gridCol w:w="900"/>
        <w:gridCol w:w="1826"/>
        <w:gridCol w:w="900"/>
        <w:gridCol w:w="1101"/>
        <w:gridCol w:w="811"/>
        <w:gridCol w:w="1085"/>
        <w:gridCol w:w="890"/>
      </w:tblGrid>
      <w:tr w:rsidR="005840A4" w:rsidRPr="00DA5119" w14:paraId="54233BFA" w14:textId="77777777" w:rsidTr="009D243C">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720" w:type="dxa"/>
          </w:tcPr>
          <w:p w14:paraId="18AD721A" w14:textId="77777777" w:rsidR="005840A4" w:rsidRPr="00DA5119" w:rsidRDefault="005840A4" w:rsidP="00DA5119">
            <w:pPr>
              <w:autoSpaceDE w:val="0"/>
              <w:autoSpaceDN w:val="0"/>
              <w:adjustRightInd w:val="0"/>
              <w:ind w:left="-90"/>
              <w:jc w:val="right"/>
              <w:rPr>
                <w:rFonts w:cs="Calibri"/>
                <w:color w:val="000000"/>
                <w:sz w:val="16"/>
                <w:lang w:val="en-US"/>
              </w:rPr>
            </w:pPr>
          </w:p>
        </w:tc>
        <w:tc>
          <w:tcPr>
            <w:tcW w:w="1260" w:type="dxa"/>
          </w:tcPr>
          <w:p w14:paraId="50FF05C5" w14:textId="77777777" w:rsidR="005840A4" w:rsidRPr="00DA5119" w:rsidRDefault="005840A4" w:rsidP="00DA5119">
            <w:pPr>
              <w:autoSpaceDE w:val="0"/>
              <w:autoSpaceDN w:val="0"/>
              <w:adjustRightInd w:val="0"/>
              <w:ind w:left="-90"/>
              <w:jc w:val="right"/>
              <w:cnfStyle w:val="000000100000" w:firstRow="0" w:lastRow="0" w:firstColumn="0" w:lastColumn="0" w:oddVBand="0" w:evenVBand="0" w:oddHBand="1" w:evenHBand="0" w:firstRowFirstColumn="0" w:firstRowLastColumn="0" w:lastRowFirstColumn="0" w:lastRowLastColumn="0"/>
              <w:rPr>
                <w:rFonts w:cs="Calibri"/>
                <w:color w:val="000000"/>
                <w:sz w:val="16"/>
                <w:lang w:val="en-US"/>
              </w:rPr>
            </w:pPr>
          </w:p>
        </w:tc>
        <w:tc>
          <w:tcPr>
            <w:cnfStyle w:val="000010000000" w:firstRow="0" w:lastRow="0" w:firstColumn="0" w:lastColumn="0" w:oddVBand="1" w:evenVBand="0" w:oddHBand="0" w:evenHBand="0" w:firstRowFirstColumn="0" w:firstRowLastColumn="0" w:lastRowFirstColumn="0" w:lastRowLastColumn="0"/>
            <w:tcW w:w="630" w:type="dxa"/>
          </w:tcPr>
          <w:p w14:paraId="628D247D" w14:textId="77777777" w:rsidR="005840A4" w:rsidRPr="00DA5119" w:rsidRDefault="005840A4" w:rsidP="00DA5119">
            <w:pPr>
              <w:autoSpaceDE w:val="0"/>
              <w:autoSpaceDN w:val="0"/>
              <w:adjustRightInd w:val="0"/>
              <w:ind w:left="-90"/>
              <w:jc w:val="center"/>
              <w:rPr>
                <w:rFonts w:cs="Calibri"/>
                <w:b/>
                <w:bCs/>
                <w:color w:val="000000"/>
                <w:sz w:val="16"/>
                <w:lang w:val="en-US"/>
              </w:rPr>
            </w:pPr>
            <w:r w:rsidRPr="00DA5119">
              <w:rPr>
                <w:rFonts w:cs="Calibri"/>
                <w:b/>
                <w:bCs/>
                <w:color w:val="000000"/>
                <w:sz w:val="16"/>
                <w:lang w:val="en-US"/>
              </w:rPr>
              <w:t>AIM/CGE</w:t>
            </w:r>
          </w:p>
        </w:tc>
        <w:tc>
          <w:tcPr>
            <w:tcW w:w="900" w:type="dxa"/>
          </w:tcPr>
          <w:p w14:paraId="5BBDCC04" w14:textId="77777777" w:rsidR="005840A4" w:rsidRPr="00DA5119" w:rsidRDefault="005840A4" w:rsidP="00DA5119">
            <w:pPr>
              <w:autoSpaceDE w:val="0"/>
              <w:autoSpaceDN w:val="0"/>
              <w:adjustRightInd w:val="0"/>
              <w:ind w:left="-90"/>
              <w:jc w:val="center"/>
              <w:cnfStyle w:val="000000100000" w:firstRow="0" w:lastRow="0" w:firstColumn="0" w:lastColumn="0" w:oddVBand="0" w:evenVBand="0" w:oddHBand="1" w:evenHBand="0" w:firstRowFirstColumn="0" w:firstRowLastColumn="0" w:lastRowFirstColumn="0" w:lastRowLastColumn="0"/>
              <w:rPr>
                <w:rFonts w:cs="Calibri"/>
                <w:b/>
                <w:bCs/>
                <w:color w:val="000000"/>
                <w:sz w:val="16"/>
                <w:lang w:val="en-US"/>
              </w:rPr>
            </w:pPr>
            <w:r w:rsidRPr="00DA5119">
              <w:rPr>
                <w:rFonts w:cs="Calibri"/>
                <w:b/>
                <w:bCs/>
                <w:color w:val="000000"/>
                <w:sz w:val="16"/>
                <w:lang w:val="en-US"/>
              </w:rPr>
              <w:t>DNE21+</w:t>
            </w:r>
          </w:p>
        </w:tc>
        <w:tc>
          <w:tcPr>
            <w:cnfStyle w:val="000010000000" w:firstRow="0" w:lastRow="0" w:firstColumn="0" w:lastColumn="0" w:oddVBand="1" w:evenVBand="0" w:oddHBand="0" w:evenHBand="0" w:firstRowFirstColumn="0" w:firstRowLastColumn="0" w:lastRowFirstColumn="0" w:lastRowLastColumn="0"/>
            <w:tcW w:w="1826" w:type="dxa"/>
          </w:tcPr>
          <w:p w14:paraId="1B4891EB" w14:textId="77777777" w:rsidR="005840A4" w:rsidRPr="00DA5119" w:rsidRDefault="005840A4" w:rsidP="00DA5119">
            <w:pPr>
              <w:autoSpaceDE w:val="0"/>
              <w:autoSpaceDN w:val="0"/>
              <w:adjustRightInd w:val="0"/>
              <w:ind w:left="-90"/>
              <w:jc w:val="center"/>
              <w:rPr>
                <w:rFonts w:cs="Calibri"/>
                <w:b/>
                <w:bCs/>
                <w:color w:val="000000"/>
                <w:sz w:val="16"/>
                <w:lang w:val="en-US"/>
              </w:rPr>
            </w:pPr>
            <w:r w:rsidRPr="00DA5119">
              <w:rPr>
                <w:rFonts w:cs="Calibri"/>
                <w:b/>
                <w:bCs/>
                <w:color w:val="000000"/>
                <w:sz w:val="16"/>
                <w:lang w:val="en-US"/>
              </w:rPr>
              <w:t>ENV-Linkages</w:t>
            </w:r>
          </w:p>
        </w:tc>
        <w:tc>
          <w:tcPr>
            <w:tcW w:w="900" w:type="dxa"/>
          </w:tcPr>
          <w:p w14:paraId="4A129D64" w14:textId="77777777" w:rsidR="005840A4" w:rsidRPr="00DA5119" w:rsidRDefault="005840A4" w:rsidP="00DA5119">
            <w:pPr>
              <w:autoSpaceDE w:val="0"/>
              <w:autoSpaceDN w:val="0"/>
              <w:adjustRightInd w:val="0"/>
              <w:ind w:left="-90"/>
              <w:jc w:val="center"/>
              <w:cnfStyle w:val="000000100000" w:firstRow="0" w:lastRow="0" w:firstColumn="0" w:lastColumn="0" w:oddVBand="0" w:evenVBand="0" w:oddHBand="1" w:evenHBand="0" w:firstRowFirstColumn="0" w:firstRowLastColumn="0" w:lastRowFirstColumn="0" w:lastRowLastColumn="0"/>
              <w:rPr>
                <w:rFonts w:cs="Calibri"/>
                <w:b/>
                <w:bCs/>
                <w:color w:val="000000"/>
                <w:sz w:val="16"/>
                <w:lang w:val="en-US"/>
              </w:rPr>
            </w:pPr>
            <w:r w:rsidRPr="00DA5119">
              <w:rPr>
                <w:rFonts w:cs="Calibri"/>
                <w:b/>
                <w:bCs/>
                <w:color w:val="000000"/>
                <w:sz w:val="16"/>
                <w:lang w:val="en-US"/>
              </w:rPr>
              <w:t>IMAGE</w:t>
            </w:r>
          </w:p>
        </w:tc>
        <w:tc>
          <w:tcPr>
            <w:cnfStyle w:val="000010000000" w:firstRow="0" w:lastRow="0" w:firstColumn="0" w:lastColumn="0" w:oddVBand="1" w:evenVBand="0" w:oddHBand="0" w:evenHBand="0" w:firstRowFirstColumn="0" w:firstRowLastColumn="0" w:lastRowFirstColumn="0" w:lastRowLastColumn="0"/>
            <w:tcW w:w="1101" w:type="dxa"/>
          </w:tcPr>
          <w:p w14:paraId="472CE7EF" w14:textId="77777777" w:rsidR="005840A4" w:rsidRPr="00DA5119" w:rsidRDefault="005840A4" w:rsidP="00DA5119">
            <w:pPr>
              <w:autoSpaceDE w:val="0"/>
              <w:autoSpaceDN w:val="0"/>
              <w:adjustRightInd w:val="0"/>
              <w:ind w:left="-90"/>
              <w:jc w:val="center"/>
              <w:rPr>
                <w:rFonts w:cs="Calibri"/>
                <w:b/>
                <w:bCs/>
                <w:color w:val="000000"/>
                <w:sz w:val="16"/>
                <w:lang w:val="en-US"/>
              </w:rPr>
            </w:pPr>
            <w:r w:rsidRPr="00DA5119">
              <w:rPr>
                <w:rFonts w:cs="Calibri"/>
                <w:b/>
                <w:bCs/>
                <w:color w:val="000000"/>
                <w:sz w:val="16"/>
                <w:lang w:val="en-US"/>
              </w:rPr>
              <w:t>MESSAGE</w:t>
            </w:r>
          </w:p>
        </w:tc>
        <w:tc>
          <w:tcPr>
            <w:tcW w:w="811" w:type="dxa"/>
          </w:tcPr>
          <w:p w14:paraId="20CA972A" w14:textId="77777777" w:rsidR="005840A4" w:rsidRPr="00DA5119" w:rsidRDefault="005840A4" w:rsidP="00DA5119">
            <w:pPr>
              <w:autoSpaceDE w:val="0"/>
              <w:autoSpaceDN w:val="0"/>
              <w:adjustRightInd w:val="0"/>
              <w:ind w:left="-90"/>
              <w:jc w:val="center"/>
              <w:cnfStyle w:val="000000100000" w:firstRow="0" w:lastRow="0" w:firstColumn="0" w:lastColumn="0" w:oddVBand="0" w:evenVBand="0" w:oddHBand="1" w:evenHBand="0" w:firstRowFirstColumn="0" w:firstRowLastColumn="0" w:lastRowFirstColumn="0" w:lastRowLastColumn="0"/>
              <w:rPr>
                <w:rFonts w:cs="Calibri"/>
                <w:b/>
                <w:bCs/>
                <w:color w:val="000000"/>
                <w:sz w:val="16"/>
                <w:lang w:val="en-US"/>
              </w:rPr>
            </w:pPr>
            <w:r w:rsidRPr="00DA5119">
              <w:rPr>
                <w:rFonts w:cs="Calibri"/>
                <w:b/>
                <w:bCs/>
                <w:color w:val="000000"/>
                <w:sz w:val="16"/>
                <w:lang w:val="en-US"/>
              </w:rPr>
              <w:t>POLES</w:t>
            </w:r>
          </w:p>
        </w:tc>
        <w:tc>
          <w:tcPr>
            <w:cnfStyle w:val="000010000000" w:firstRow="0" w:lastRow="0" w:firstColumn="0" w:lastColumn="0" w:oddVBand="1" w:evenVBand="0" w:oddHBand="0" w:evenHBand="0" w:firstRowFirstColumn="0" w:firstRowLastColumn="0" w:lastRowFirstColumn="0" w:lastRowLastColumn="0"/>
            <w:tcW w:w="1085" w:type="dxa"/>
          </w:tcPr>
          <w:p w14:paraId="1715E9D9" w14:textId="77777777" w:rsidR="005840A4" w:rsidRPr="00DA5119" w:rsidRDefault="005840A4" w:rsidP="00DA5119">
            <w:pPr>
              <w:autoSpaceDE w:val="0"/>
              <w:autoSpaceDN w:val="0"/>
              <w:adjustRightInd w:val="0"/>
              <w:ind w:left="-90"/>
              <w:jc w:val="center"/>
              <w:rPr>
                <w:rFonts w:cs="Calibri"/>
                <w:b/>
                <w:bCs/>
                <w:color w:val="000000"/>
                <w:sz w:val="16"/>
                <w:lang w:val="en-US"/>
              </w:rPr>
            </w:pPr>
            <w:r w:rsidRPr="00DA5119">
              <w:rPr>
                <w:rFonts w:cs="Calibri"/>
                <w:b/>
                <w:bCs/>
                <w:color w:val="000000"/>
                <w:sz w:val="16"/>
                <w:lang w:val="en-US"/>
              </w:rPr>
              <w:t>REMIND</w:t>
            </w:r>
          </w:p>
        </w:tc>
        <w:tc>
          <w:tcPr>
            <w:tcW w:w="890" w:type="dxa"/>
          </w:tcPr>
          <w:p w14:paraId="3EB8D72A" w14:textId="77777777" w:rsidR="005840A4" w:rsidRPr="00DA5119" w:rsidRDefault="005840A4" w:rsidP="00DA5119">
            <w:pPr>
              <w:autoSpaceDE w:val="0"/>
              <w:autoSpaceDN w:val="0"/>
              <w:adjustRightInd w:val="0"/>
              <w:ind w:left="-90"/>
              <w:jc w:val="center"/>
              <w:cnfStyle w:val="000000100000" w:firstRow="0" w:lastRow="0" w:firstColumn="0" w:lastColumn="0" w:oddVBand="0" w:evenVBand="0" w:oddHBand="1" w:evenHBand="0" w:firstRowFirstColumn="0" w:firstRowLastColumn="0" w:lastRowFirstColumn="0" w:lastRowLastColumn="0"/>
              <w:rPr>
                <w:rFonts w:cs="Calibri"/>
                <w:b/>
                <w:bCs/>
                <w:color w:val="000000"/>
                <w:sz w:val="16"/>
                <w:lang w:val="en-US"/>
              </w:rPr>
            </w:pPr>
            <w:r w:rsidRPr="00DA5119">
              <w:rPr>
                <w:rFonts w:cs="Calibri"/>
                <w:b/>
                <w:bCs/>
                <w:color w:val="000000"/>
                <w:sz w:val="16"/>
                <w:lang w:val="en-US"/>
              </w:rPr>
              <w:t>WITCH</w:t>
            </w:r>
          </w:p>
        </w:tc>
      </w:tr>
      <w:tr w:rsidR="00D270AB" w:rsidRPr="00DA5119" w14:paraId="671D5B71" w14:textId="77777777" w:rsidTr="009D243C">
        <w:trPr>
          <w:trHeight w:val="657"/>
        </w:trPr>
        <w:tc>
          <w:tcPr>
            <w:cnfStyle w:val="000010000000" w:firstRow="0" w:lastRow="0" w:firstColumn="0" w:lastColumn="0" w:oddVBand="1" w:evenVBand="0" w:oddHBand="0" w:evenHBand="0" w:firstRowFirstColumn="0" w:firstRowLastColumn="0" w:lastRowFirstColumn="0" w:lastRowLastColumn="0"/>
            <w:tcW w:w="720" w:type="dxa"/>
            <w:vMerge w:val="restart"/>
            <w:shd w:val="clear" w:color="auto" w:fill="FBD4B4" w:themeFill="accent6" w:themeFillTint="66"/>
            <w:textDirection w:val="btLr"/>
          </w:tcPr>
          <w:p w14:paraId="66C0B7DD" w14:textId="77777777" w:rsidR="00D270AB" w:rsidRPr="00DA5119" w:rsidRDefault="00D270AB" w:rsidP="00DA5119">
            <w:pPr>
              <w:autoSpaceDE w:val="0"/>
              <w:autoSpaceDN w:val="0"/>
              <w:adjustRightInd w:val="0"/>
              <w:ind w:left="-90" w:right="113"/>
              <w:jc w:val="center"/>
              <w:rPr>
                <w:rFonts w:cs="Calibri"/>
                <w:b/>
                <w:bCs/>
                <w:color w:val="000000"/>
                <w:sz w:val="16"/>
                <w:lang w:val="en-US"/>
              </w:rPr>
            </w:pPr>
            <w:r w:rsidRPr="00DA5119">
              <w:rPr>
                <w:rFonts w:cs="Calibri"/>
                <w:b/>
                <w:bCs/>
                <w:color w:val="000000"/>
                <w:sz w:val="16"/>
                <w:lang w:val="en-US"/>
              </w:rPr>
              <w:t>Buildings</w:t>
            </w:r>
          </w:p>
        </w:tc>
        <w:tc>
          <w:tcPr>
            <w:tcW w:w="1260" w:type="dxa"/>
            <w:shd w:val="clear" w:color="auto" w:fill="FBD4B4" w:themeFill="accent6" w:themeFillTint="66"/>
          </w:tcPr>
          <w:p w14:paraId="0A5A9585" w14:textId="5FB3D102"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lang w:val="en-US"/>
              </w:rPr>
            </w:pPr>
            <w:r w:rsidRPr="00DA5119">
              <w:rPr>
                <w:rFonts w:cs="Calibri"/>
                <w:color w:val="000000"/>
                <w:sz w:val="16"/>
                <w:lang w:val="en-US"/>
              </w:rPr>
              <w:t>Commercial /Services</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5026C8F0"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7AF76CCF"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EAF1DD" w:themeFill="accent3" w:themeFillTint="33"/>
          </w:tcPr>
          <w:p w14:paraId="0116484D"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Yes/No</w:t>
            </w:r>
          </w:p>
        </w:tc>
        <w:tc>
          <w:tcPr>
            <w:tcW w:w="900" w:type="dxa"/>
            <w:shd w:val="clear" w:color="auto" w:fill="D6E3BC" w:themeFill="accent3" w:themeFillTint="66"/>
          </w:tcPr>
          <w:p w14:paraId="4EE05244"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EAF1DD" w:themeFill="accent3" w:themeFillTint="33"/>
          </w:tcPr>
          <w:p w14:paraId="0EC0DF90"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residential/commercial</w:t>
            </w:r>
          </w:p>
        </w:tc>
        <w:tc>
          <w:tcPr>
            <w:tcW w:w="811" w:type="dxa"/>
            <w:shd w:val="clear" w:color="auto" w:fill="D6E3BC" w:themeFill="accent3" w:themeFillTint="66"/>
          </w:tcPr>
          <w:p w14:paraId="184D42A0"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EAF1DD" w:themeFill="accent3" w:themeFillTint="33"/>
          </w:tcPr>
          <w:p w14:paraId="6701A726"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residential/commercial</w:t>
            </w:r>
          </w:p>
        </w:tc>
        <w:tc>
          <w:tcPr>
            <w:tcW w:w="890" w:type="dxa"/>
            <w:shd w:val="clear" w:color="auto" w:fill="EAF1DD" w:themeFill="accent3" w:themeFillTint="33"/>
          </w:tcPr>
          <w:p w14:paraId="45765165"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Aggregated residential/commercial</w:t>
            </w:r>
          </w:p>
        </w:tc>
      </w:tr>
      <w:tr w:rsidR="00D270AB" w:rsidRPr="00DA5119" w14:paraId="06DE5E74" w14:textId="77777777" w:rsidTr="009D243C">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720" w:type="dxa"/>
            <w:vMerge/>
            <w:shd w:val="clear" w:color="auto" w:fill="FBD4B4" w:themeFill="accent6" w:themeFillTint="66"/>
          </w:tcPr>
          <w:p w14:paraId="6C49F064" w14:textId="77777777" w:rsidR="00D270AB" w:rsidRPr="00DA5119" w:rsidRDefault="00D270AB" w:rsidP="00DA5119">
            <w:pPr>
              <w:autoSpaceDE w:val="0"/>
              <w:autoSpaceDN w:val="0"/>
              <w:adjustRightInd w:val="0"/>
              <w:ind w:left="-90"/>
              <w:jc w:val="center"/>
              <w:rPr>
                <w:rFonts w:cs="Calibri"/>
                <w:b/>
                <w:bCs/>
                <w:color w:val="000000"/>
                <w:sz w:val="16"/>
                <w:lang w:val="en-US"/>
              </w:rPr>
            </w:pPr>
          </w:p>
        </w:tc>
        <w:tc>
          <w:tcPr>
            <w:tcW w:w="1260" w:type="dxa"/>
            <w:shd w:val="clear" w:color="auto" w:fill="FBD4B4" w:themeFill="accent6" w:themeFillTint="66"/>
          </w:tcPr>
          <w:p w14:paraId="6B980D35"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lang w:val="en-US"/>
              </w:rPr>
            </w:pPr>
            <w:r w:rsidRPr="00DA5119">
              <w:rPr>
                <w:rFonts w:cs="Calibri"/>
                <w:color w:val="000000"/>
                <w:sz w:val="16"/>
                <w:lang w:val="en-US"/>
              </w:rPr>
              <w:t>Residential heating</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433FA536"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7BB1E54D"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D6E3BC" w:themeFill="accent3" w:themeFillTint="66"/>
          </w:tcPr>
          <w:p w14:paraId="72B6AF42"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656E7395"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D6E3BC" w:themeFill="accent3" w:themeFillTint="66"/>
          </w:tcPr>
          <w:p w14:paraId="5954F7AA"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811" w:type="dxa"/>
            <w:shd w:val="clear" w:color="auto" w:fill="D6E3BC" w:themeFill="accent3" w:themeFillTint="66"/>
          </w:tcPr>
          <w:p w14:paraId="2BAE1B1D"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EAF1DD" w:themeFill="accent3" w:themeFillTint="33"/>
          </w:tcPr>
          <w:p w14:paraId="5152DFA8"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 by proxy</w:t>
            </w:r>
          </w:p>
        </w:tc>
        <w:tc>
          <w:tcPr>
            <w:tcW w:w="890" w:type="dxa"/>
            <w:shd w:val="clear" w:color="auto" w:fill="EAF1DD" w:themeFill="accent3" w:themeFillTint="33"/>
          </w:tcPr>
          <w:p w14:paraId="735B0BBE"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 by proxy</w:t>
            </w:r>
          </w:p>
        </w:tc>
      </w:tr>
      <w:tr w:rsidR="00D270AB" w:rsidRPr="00DA5119" w14:paraId="733D3881" w14:textId="77777777" w:rsidTr="009D243C">
        <w:trPr>
          <w:trHeight w:val="343"/>
        </w:trPr>
        <w:tc>
          <w:tcPr>
            <w:cnfStyle w:val="000010000000" w:firstRow="0" w:lastRow="0" w:firstColumn="0" w:lastColumn="0" w:oddVBand="1" w:evenVBand="0" w:oddHBand="0" w:evenHBand="0" w:firstRowFirstColumn="0" w:firstRowLastColumn="0" w:lastRowFirstColumn="0" w:lastRowLastColumn="0"/>
            <w:tcW w:w="720" w:type="dxa"/>
            <w:vMerge/>
            <w:shd w:val="clear" w:color="auto" w:fill="FBD4B4" w:themeFill="accent6" w:themeFillTint="66"/>
          </w:tcPr>
          <w:p w14:paraId="1BDA474F" w14:textId="77777777" w:rsidR="00D270AB" w:rsidRPr="00DA5119" w:rsidRDefault="00D270AB" w:rsidP="00DA5119">
            <w:pPr>
              <w:autoSpaceDE w:val="0"/>
              <w:autoSpaceDN w:val="0"/>
              <w:adjustRightInd w:val="0"/>
              <w:ind w:left="-90"/>
              <w:jc w:val="center"/>
              <w:rPr>
                <w:rFonts w:cs="Calibri"/>
                <w:b/>
                <w:bCs/>
                <w:color w:val="000000"/>
                <w:sz w:val="16"/>
                <w:lang w:val="en-US"/>
              </w:rPr>
            </w:pPr>
          </w:p>
        </w:tc>
        <w:tc>
          <w:tcPr>
            <w:tcW w:w="1260" w:type="dxa"/>
            <w:shd w:val="clear" w:color="auto" w:fill="FBD4B4" w:themeFill="accent6" w:themeFillTint="66"/>
          </w:tcPr>
          <w:p w14:paraId="1FEE59E6"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lang w:val="en-US"/>
              </w:rPr>
            </w:pPr>
            <w:r w:rsidRPr="00DA5119">
              <w:rPr>
                <w:rFonts w:cs="Calibri"/>
                <w:color w:val="000000"/>
                <w:sz w:val="16"/>
                <w:lang w:val="en-US"/>
              </w:rPr>
              <w:t>Residential cooking</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15FB88E0"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6DBEB551"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D6E3BC" w:themeFill="accent3" w:themeFillTint="66"/>
          </w:tcPr>
          <w:p w14:paraId="483ECA41"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2BE1F3C2"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D6E3BC" w:themeFill="accent3" w:themeFillTint="66"/>
          </w:tcPr>
          <w:p w14:paraId="165132A5"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811" w:type="dxa"/>
            <w:shd w:val="clear" w:color="auto" w:fill="D6E3BC" w:themeFill="accent3" w:themeFillTint="66"/>
          </w:tcPr>
          <w:p w14:paraId="44109D43"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EAF1DD" w:themeFill="accent3" w:themeFillTint="33"/>
          </w:tcPr>
          <w:p w14:paraId="4C6DEB75"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 by proxy</w:t>
            </w:r>
          </w:p>
        </w:tc>
        <w:tc>
          <w:tcPr>
            <w:tcW w:w="890" w:type="dxa"/>
            <w:shd w:val="clear" w:color="auto" w:fill="EAF1DD" w:themeFill="accent3" w:themeFillTint="33"/>
          </w:tcPr>
          <w:p w14:paraId="2FEEB25C"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 by proxy</w:t>
            </w:r>
          </w:p>
        </w:tc>
      </w:tr>
      <w:tr w:rsidR="00D270AB" w:rsidRPr="00DA5119" w14:paraId="71F256A0" w14:textId="77777777" w:rsidTr="009D243C">
        <w:trPr>
          <w:cnfStyle w:val="000000100000" w:firstRow="0" w:lastRow="0" w:firstColumn="0" w:lastColumn="0" w:oddVBand="0" w:evenVBand="0" w:oddHBand="1" w:evenHBand="0" w:firstRowFirstColumn="0" w:firstRowLastColumn="0" w:lastRowFirstColumn="0" w:lastRowLastColumn="0"/>
          <w:trHeight w:val="670"/>
        </w:trPr>
        <w:tc>
          <w:tcPr>
            <w:cnfStyle w:val="000010000000" w:firstRow="0" w:lastRow="0" w:firstColumn="0" w:lastColumn="0" w:oddVBand="1" w:evenVBand="0" w:oddHBand="0" w:evenHBand="0" w:firstRowFirstColumn="0" w:firstRowLastColumn="0" w:lastRowFirstColumn="0" w:lastRowLastColumn="0"/>
            <w:tcW w:w="720" w:type="dxa"/>
            <w:shd w:val="clear" w:color="auto" w:fill="FBD4B4" w:themeFill="accent6" w:themeFillTint="66"/>
          </w:tcPr>
          <w:p w14:paraId="0EAD98D7" w14:textId="77777777" w:rsidR="005840A4" w:rsidRPr="00DA5119" w:rsidRDefault="005840A4" w:rsidP="00DA5119">
            <w:pPr>
              <w:autoSpaceDE w:val="0"/>
              <w:autoSpaceDN w:val="0"/>
              <w:adjustRightInd w:val="0"/>
              <w:ind w:left="-90"/>
              <w:jc w:val="center"/>
              <w:rPr>
                <w:rFonts w:cs="Calibri"/>
                <w:b/>
                <w:bCs/>
                <w:color w:val="000000"/>
                <w:sz w:val="16"/>
                <w:lang w:val="en-US"/>
              </w:rPr>
            </w:pPr>
          </w:p>
        </w:tc>
        <w:tc>
          <w:tcPr>
            <w:tcW w:w="1260" w:type="dxa"/>
            <w:shd w:val="clear" w:color="auto" w:fill="FBD4B4" w:themeFill="accent6" w:themeFillTint="66"/>
          </w:tcPr>
          <w:p w14:paraId="34CD19D7" w14:textId="77777777" w:rsidR="005840A4" w:rsidRPr="00DA5119" w:rsidRDefault="005840A4"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lang w:val="en-US"/>
              </w:rPr>
            </w:pPr>
            <w:r w:rsidRPr="00DA5119">
              <w:rPr>
                <w:rFonts w:cs="Calibri"/>
                <w:color w:val="000000"/>
                <w:sz w:val="16"/>
                <w:lang w:val="en-US"/>
              </w:rPr>
              <w:t>Traditional biomass included?</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3B652D9D" w14:textId="77777777" w:rsidR="005840A4" w:rsidRPr="00DA5119" w:rsidRDefault="005840A4"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 xml:space="preserve">Yes </w:t>
            </w:r>
          </w:p>
        </w:tc>
        <w:tc>
          <w:tcPr>
            <w:tcW w:w="900" w:type="dxa"/>
            <w:shd w:val="clear" w:color="auto" w:fill="FFC000"/>
          </w:tcPr>
          <w:p w14:paraId="3393B814" w14:textId="76436D72" w:rsidR="005840A4"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No, exogenous emissions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FFC000"/>
          </w:tcPr>
          <w:p w14:paraId="45099B27" w14:textId="78431183" w:rsidR="005840A4" w:rsidRPr="00DA5119" w:rsidRDefault="009D243C"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 xml:space="preserve">No, </w:t>
            </w:r>
            <w:r w:rsidR="005840A4" w:rsidRPr="00DA5119">
              <w:rPr>
                <w:rFonts w:cs="Calibri"/>
                <w:color w:val="000000"/>
                <w:sz w:val="16"/>
                <w:szCs w:val="20"/>
                <w:lang w:val="en-US"/>
              </w:rPr>
              <w:t>ex</w:t>
            </w:r>
            <w:r w:rsidRPr="00DA5119">
              <w:rPr>
                <w:rFonts w:cs="Calibri"/>
                <w:color w:val="000000"/>
                <w:sz w:val="16"/>
                <w:szCs w:val="20"/>
                <w:lang w:val="en-US"/>
              </w:rPr>
              <w:t>ogenous emissions</w:t>
            </w:r>
          </w:p>
        </w:tc>
        <w:tc>
          <w:tcPr>
            <w:tcW w:w="900" w:type="dxa"/>
            <w:shd w:val="clear" w:color="auto" w:fill="D6E3BC" w:themeFill="accent3" w:themeFillTint="66"/>
          </w:tcPr>
          <w:p w14:paraId="1C91F060" w14:textId="77777777" w:rsidR="005840A4" w:rsidRPr="00DA5119" w:rsidRDefault="005840A4"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 xml:space="preserve">Yes </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D6E3BC" w:themeFill="accent3" w:themeFillTint="66"/>
          </w:tcPr>
          <w:p w14:paraId="25BF581C" w14:textId="77777777" w:rsidR="005840A4" w:rsidRPr="00DA5119" w:rsidRDefault="005840A4"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811" w:type="dxa"/>
            <w:shd w:val="clear" w:color="auto" w:fill="EAF1DD" w:themeFill="accent3" w:themeFillTint="33"/>
          </w:tcPr>
          <w:p w14:paraId="38A3FDB8" w14:textId="3F32ECF8" w:rsidR="005840A4" w:rsidRPr="00DA5119" w:rsidRDefault="005840A4"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 xml:space="preserve">Yes, but </w:t>
            </w:r>
            <w:r w:rsidR="00E95BFF" w:rsidRPr="00DA5119">
              <w:rPr>
                <w:rFonts w:cs="Calibri"/>
                <w:color w:val="000000"/>
                <w:sz w:val="16"/>
                <w:szCs w:val="20"/>
                <w:lang w:val="en-US"/>
              </w:rPr>
              <w:t>semi-</w:t>
            </w:r>
            <w:r w:rsidRPr="00DA5119">
              <w:rPr>
                <w:rFonts w:cs="Calibri"/>
                <w:color w:val="000000"/>
                <w:sz w:val="16"/>
                <w:szCs w:val="20"/>
                <w:lang w:val="en-US"/>
              </w:rPr>
              <w:t>exogenous scenarios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C000"/>
          </w:tcPr>
          <w:p w14:paraId="064943A1" w14:textId="4B31B265" w:rsidR="005840A4" w:rsidRPr="00DA5119" w:rsidRDefault="009D243C"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No, exogenous emissions</w:t>
            </w:r>
          </w:p>
        </w:tc>
        <w:tc>
          <w:tcPr>
            <w:tcW w:w="890" w:type="dxa"/>
            <w:shd w:val="clear" w:color="auto" w:fill="D6E3BC" w:themeFill="accent3" w:themeFillTint="66"/>
          </w:tcPr>
          <w:p w14:paraId="43B42B6A" w14:textId="77777777" w:rsidR="005840A4" w:rsidRPr="00DA5119" w:rsidRDefault="005840A4"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r>
      <w:tr w:rsidR="00D270AB" w:rsidRPr="00DA5119" w14:paraId="7537AE6B" w14:textId="77777777" w:rsidTr="009D243C">
        <w:trPr>
          <w:trHeight w:val="437"/>
        </w:trPr>
        <w:tc>
          <w:tcPr>
            <w:cnfStyle w:val="000010000000" w:firstRow="0" w:lastRow="0" w:firstColumn="0" w:lastColumn="0" w:oddVBand="1" w:evenVBand="0" w:oddHBand="0" w:evenHBand="0" w:firstRowFirstColumn="0" w:firstRowLastColumn="0" w:lastRowFirstColumn="0" w:lastRowLastColumn="0"/>
            <w:tcW w:w="720" w:type="dxa"/>
            <w:vMerge w:val="restart"/>
            <w:shd w:val="clear" w:color="auto" w:fill="E5DFEC" w:themeFill="accent4" w:themeFillTint="33"/>
            <w:textDirection w:val="btLr"/>
          </w:tcPr>
          <w:p w14:paraId="78F21F26" w14:textId="77777777" w:rsidR="00D270AB" w:rsidRPr="00DA5119" w:rsidRDefault="00D270AB" w:rsidP="00DA5119">
            <w:pPr>
              <w:autoSpaceDE w:val="0"/>
              <w:autoSpaceDN w:val="0"/>
              <w:adjustRightInd w:val="0"/>
              <w:ind w:left="-90" w:right="113"/>
              <w:jc w:val="center"/>
              <w:rPr>
                <w:rFonts w:cs="Calibri"/>
                <w:b/>
                <w:bCs/>
                <w:color w:val="000000"/>
                <w:sz w:val="16"/>
                <w:lang w:val="en-US"/>
              </w:rPr>
            </w:pPr>
            <w:r w:rsidRPr="00DA5119">
              <w:rPr>
                <w:rFonts w:cs="Calibri"/>
                <w:b/>
                <w:bCs/>
                <w:color w:val="000000"/>
                <w:sz w:val="16"/>
                <w:lang w:val="en-US"/>
              </w:rPr>
              <w:t>Industry</w:t>
            </w:r>
          </w:p>
        </w:tc>
        <w:tc>
          <w:tcPr>
            <w:tcW w:w="1260" w:type="dxa"/>
            <w:shd w:val="clear" w:color="auto" w:fill="E5DFEC" w:themeFill="accent4" w:themeFillTint="33"/>
          </w:tcPr>
          <w:p w14:paraId="7BA1EBB6"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lang w:val="en-US"/>
              </w:rPr>
            </w:pPr>
            <w:r w:rsidRPr="00DA5119">
              <w:rPr>
                <w:rFonts w:cs="Calibri"/>
                <w:color w:val="000000"/>
                <w:sz w:val="16"/>
                <w:lang w:val="en-US"/>
              </w:rPr>
              <w:t>Iron and Steel</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0DDCAF83"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6645FAF2"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D6E3BC" w:themeFill="accent3" w:themeFillTint="66"/>
          </w:tcPr>
          <w:p w14:paraId="25B90542"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460B8BAB"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EAF1DD" w:themeFill="accent3" w:themeFillTint="33"/>
          </w:tcPr>
          <w:p w14:paraId="43F9FF08"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industry non-energy</w:t>
            </w:r>
          </w:p>
        </w:tc>
        <w:tc>
          <w:tcPr>
            <w:tcW w:w="811" w:type="dxa"/>
            <w:shd w:val="clear" w:color="auto" w:fill="D6E3BC" w:themeFill="accent3" w:themeFillTint="66"/>
          </w:tcPr>
          <w:p w14:paraId="68B99C90"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EAF1DD" w:themeFill="accent3" w:themeFillTint="33"/>
          </w:tcPr>
          <w:p w14:paraId="33B8252B"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industry</w:t>
            </w:r>
          </w:p>
        </w:tc>
        <w:tc>
          <w:tcPr>
            <w:tcW w:w="890" w:type="dxa"/>
            <w:shd w:val="clear" w:color="auto" w:fill="FFC000"/>
          </w:tcPr>
          <w:p w14:paraId="3A76A8D4"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No</w:t>
            </w:r>
          </w:p>
        </w:tc>
      </w:tr>
      <w:tr w:rsidR="00D270AB" w:rsidRPr="00DA5119" w14:paraId="3D63A066" w14:textId="77777777" w:rsidTr="009D243C">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720" w:type="dxa"/>
            <w:vMerge/>
            <w:shd w:val="clear" w:color="auto" w:fill="E5DFEC" w:themeFill="accent4" w:themeFillTint="33"/>
          </w:tcPr>
          <w:p w14:paraId="742B442A" w14:textId="77777777" w:rsidR="00D270AB" w:rsidRPr="00DA5119" w:rsidRDefault="00D270AB" w:rsidP="00DA5119">
            <w:pPr>
              <w:autoSpaceDE w:val="0"/>
              <w:autoSpaceDN w:val="0"/>
              <w:adjustRightInd w:val="0"/>
              <w:ind w:left="-90"/>
              <w:jc w:val="center"/>
              <w:rPr>
                <w:rFonts w:cs="Calibri"/>
                <w:b/>
                <w:bCs/>
                <w:color w:val="000000"/>
                <w:sz w:val="16"/>
                <w:lang w:val="en-US"/>
              </w:rPr>
            </w:pPr>
          </w:p>
        </w:tc>
        <w:tc>
          <w:tcPr>
            <w:tcW w:w="1260" w:type="dxa"/>
            <w:shd w:val="clear" w:color="auto" w:fill="E5DFEC" w:themeFill="accent4" w:themeFillTint="33"/>
          </w:tcPr>
          <w:p w14:paraId="3AE304DB"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lang w:val="en-US"/>
              </w:rPr>
            </w:pPr>
            <w:r w:rsidRPr="00DA5119">
              <w:rPr>
                <w:rFonts w:cs="Calibri"/>
                <w:color w:val="000000"/>
                <w:sz w:val="16"/>
                <w:lang w:val="en-US"/>
              </w:rPr>
              <w:t>Cement Manufacturing</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323E1A4E"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1383E686"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EAF1DD" w:themeFill="accent3" w:themeFillTint="33"/>
          </w:tcPr>
          <w:p w14:paraId="462F6165"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to Non-Metallic Minerals</w:t>
            </w:r>
          </w:p>
        </w:tc>
        <w:tc>
          <w:tcPr>
            <w:tcW w:w="900" w:type="dxa"/>
            <w:shd w:val="clear" w:color="auto" w:fill="D6E3BC" w:themeFill="accent3" w:themeFillTint="66"/>
          </w:tcPr>
          <w:p w14:paraId="22B83ACE"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EAF1DD" w:themeFill="accent3" w:themeFillTint="33"/>
          </w:tcPr>
          <w:p w14:paraId="10B4C5E2"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industry non-energy</w:t>
            </w:r>
          </w:p>
        </w:tc>
        <w:tc>
          <w:tcPr>
            <w:tcW w:w="811" w:type="dxa"/>
            <w:shd w:val="clear" w:color="auto" w:fill="D6E3BC" w:themeFill="accent3" w:themeFillTint="66"/>
          </w:tcPr>
          <w:p w14:paraId="021828CD" w14:textId="2BC391CB"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 non-metallic minerals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EAF1DD" w:themeFill="accent3" w:themeFillTint="33"/>
          </w:tcPr>
          <w:p w14:paraId="73E1EEB3"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industry</w:t>
            </w:r>
          </w:p>
        </w:tc>
        <w:tc>
          <w:tcPr>
            <w:tcW w:w="890" w:type="dxa"/>
            <w:shd w:val="clear" w:color="auto" w:fill="FFC000"/>
          </w:tcPr>
          <w:p w14:paraId="3D8F4C01"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No</w:t>
            </w:r>
          </w:p>
        </w:tc>
      </w:tr>
      <w:tr w:rsidR="00D270AB" w:rsidRPr="00DA5119" w14:paraId="1C9B3687" w14:textId="77777777" w:rsidTr="009D243C">
        <w:trPr>
          <w:trHeight w:val="437"/>
        </w:trPr>
        <w:tc>
          <w:tcPr>
            <w:cnfStyle w:val="000010000000" w:firstRow="0" w:lastRow="0" w:firstColumn="0" w:lastColumn="0" w:oddVBand="1" w:evenVBand="0" w:oddHBand="0" w:evenHBand="0" w:firstRowFirstColumn="0" w:firstRowLastColumn="0" w:lastRowFirstColumn="0" w:lastRowLastColumn="0"/>
            <w:tcW w:w="720" w:type="dxa"/>
            <w:vMerge/>
            <w:shd w:val="clear" w:color="auto" w:fill="E5DFEC" w:themeFill="accent4" w:themeFillTint="33"/>
          </w:tcPr>
          <w:p w14:paraId="320D4152" w14:textId="77777777" w:rsidR="00D270AB" w:rsidRPr="00DA5119" w:rsidRDefault="00D270AB" w:rsidP="00DA5119">
            <w:pPr>
              <w:autoSpaceDE w:val="0"/>
              <w:autoSpaceDN w:val="0"/>
              <w:adjustRightInd w:val="0"/>
              <w:ind w:left="-90"/>
              <w:jc w:val="center"/>
              <w:rPr>
                <w:rFonts w:cs="Calibri"/>
                <w:b/>
                <w:bCs/>
                <w:color w:val="000000"/>
                <w:sz w:val="16"/>
                <w:lang w:val="en-US"/>
              </w:rPr>
            </w:pPr>
          </w:p>
        </w:tc>
        <w:tc>
          <w:tcPr>
            <w:tcW w:w="1260" w:type="dxa"/>
            <w:shd w:val="clear" w:color="auto" w:fill="E5DFEC" w:themeFill="accent4" w:themeFillTint="33"/>
          </w:tcPr>
          <w:p w14:paraId="418FBF94"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lang w:val="en-US"/>
              </w:rPr>
            </w:pPr>
            <w:r w:rsidRPr="00DA5119">
              <w:rPr>
                <w:rFonts w:cs="Calibri"/>
                <w:color w:val="000000"/>
                <w:sz w:val="16"/>
                <w:lang w:val="en-US"/>
              </w:rPr>
              <w:t xml:space="preserve">Chemical Manufacturing </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42B573F9"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462EDDD1"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D6E3BC" w:themeFill="accent3" w:themeFillTint="66"/>
          </w:tcPr>
          <w:p w14:paraId="0F0063E9"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1D0591FA"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Feedstock/plastics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EAF1DD" w:themeFill="accent3" w:themeFillTint="33"/>
          </w:tcPr>
          <w:p w14:paraId="79BDDD5D"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industry non-energy</w:t>
            </w:r>
          </w:p>
        </w:tc>
        <w:tc>
          <w:tcPr>
            <w:tcW w:w="811" w:type="dxa"/>
            <w:shd w:val="clear" w:color="auto" w:fill="D6E3BC" w:themeFill="accent3" w:themeFillTint="66"/>
          </w:tcPr>
          <w:p w14:paraId="03E225CF"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EAF1DD" w:themeFill="accent3" w:themeFillTint="33"/>
          </w:tcPr>
          <w:p w14:paraId="15D134C4"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industry</w:t>
            </w:r>
          </w:p>
        </w:tc>
        <w:tc>
          <w:tcPr>
            <w:tcW w:w="890" w:type="dxa"/>
            <w:shd w:val="clear" w:color="auto" w:fill="FFC000"/>
          </w:tcPr>
          <w:p w14:paraId="15E21062"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No</w:t>
            </w:r>
          </w:p>
        </w:tc>
      </w:tr>
      <w:tr w:rsidR="00D270AB" w:rsidRPr="00DA5119" w14:paraId="1F3A8DD7" w14:textId="77777777" w:rsidTr="009D243C">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720" w:type="dxa"/>
            <w:vMerge/>
            <w:shd w:val="clear" w:color="auto" w:fill="E5DFEC" w:themeFill="accent4" w:themeFillTint="33"/>
          </w:tcPr>
          <w:p w14:paraId="098791FE" w14:textId="77777777" w:rsidR="00D270AB" w:rsidRPr="00DA5119" w:rsidRDefault="00D270AB" w:rsidP="00DA5119">
            <w:pPr>
              <w:autoSpaceDE w:val="0"/>
              <w:autoSpaceDN w:val="0"/>
              <w:adjustRightInd w:val="0"/>
              <w:ind w:left="-90"/>
              <w:jc w:val="center"/>
              <w:rPr>
                <w:rFonts w:cs="Calibri"/>
                <w:b/>
                <w:bCs/>
                <w:color w:val="000000"/>
                <w:sz w:val="16"/>
                <w:lang w:val="en-US"/>
              </w:rPr>
            </w:pPr>
          </w:p>
        </w:tc>
        <w:tc>
          <w:tcPr>
            <w:tcW w:w="1260" w:type="dxa"/>
            <w:shd w:val="clear" w:color="auto" w:fill="E5DFEC" w:themeFill="accent4" w:themeFillTint="33"/>
          </w:tcPr>
          <w:p w14:paraId="30F8728C"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lang w:val="en-US"/>
              </w:rPr>
            </w:pPr>
            <w:r w:rsidRPr="00DA5119">
              <w:rPr>
                <w:rFonts w:cs="Calibri"/>
                <w:color w:val="000000"/>
                <w:sz w:val="16"/>
                <w:lang w:val="en-US"/>
              </w:rPr>
              <w:t>Pulp &amp; Paper Manufacturing</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464F4451"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69FCC0FF"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D6E3BC" w:themeFill="accent3" w:themeFillTint="66"/>
          </w:tcPr>
          <w:p w14:paraId="2084F438"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FFC000"/>
          </w:tcPr>
          <w:p w14:paraId="2799CC4E"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No</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EAF1DD" w:themeFill="accent3" w:themeFillTint="33"/>
          </w:tcPr>
          <w:p w14:paraId="523F9C82"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industry non-energy</w:t>
            </w:r>
          </w:p>
        </w:tc>
        <w:tc>
          <w:tcPr>
            <w:tcW w:w="811" w:type="dxa"/>
            <w:shd w:val="clear" w:color="auto" w:fill="FFC000"/>
          </w:tcPr>
          <w:p w14:paraId="6D640EB3"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No</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EAF1DD" w:themeFill="accent3" w:themeFillTint="33"/>
          </w:tcPr>
          <w:p w14:paraId="3294E350"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industry</w:t>
            </w:r>
          </w:p>
        </w:tc>
        <w:tc>
          <w:tcPr>
            <w:tcW w:w="890" w:type="dxa"/>
            <w:shd w:val="clear" w:color="auto" w:fill="FFC000"/>
          </w:tcPr>
          <w:p w14:paraId="14E13853"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No</w:t>
            </w:r>
          </w:p>
        </w:tc>
      </w:tr>
      <w:tr w:rsidR="00D270AB" w:rsidRPr="00DA5119" w14:paraId="74A484B7" w14:textId="77777777" w:rsidTr="009D243C">
        <w:trPr>
          <w:trHeight w:val="1786"/>
        </w:trPr>
        <w:tc>
          <w:tcPr>
            <w:cnfStyle w:val="000010000000" w:firstRow="0" w:lastRow="0" w:firstColumn="0" w:lastColumn="0" w:oddVBand="1" w:evenVBand="0" w:oddHBand="0" w:evenHBand="0" w:firstRowFirstColumn="0" w:firstRowLastColumn="0" w:lastRowFirstColumn="0" w:lastRowLastColumn="0"/>
            <w:tcW w:w="720" w:type="dxa"/>
            <w:vMerge/>
            <w:shd w:val="clear" w:color="auto" w:fill="E5DFEC" w:themeFill="accent4" w:themeFillTint="33"/>
          </w:tcPr>
          <w:p w14:paraId="246021BC" w14:textId="77777777" w:rsidR="00D270AB" w:rsidRPr="00DA5119" w:rsidRDefault="00D270AB" w:rsidP="00DA5119">
            <w:pPr>
              <w:autoSpaceDE w:val="0"/>
              <w:autoSpaceDN w:val="0"/>
              <w:adjustRightInd w:val="0"/>
              <w:ind w:left="-90"/>
              <w:jc w:val="center"/>
              <w:rPr>
                <w:rFonts w:cs="Calibri"/>
                <w:b/>
                <w:bCs/>
                <w:color w:val="000000"/>
                <w:sz w:val="16"/>
                <w:lang w:val="en-US"/>
              </w:rPr>
            </w:pPr>
          </w:p>
        </w:tc>
        <w:tc>
          <w:tcPr>
            <w:tcW w:w="1260" w:type="dxa"/>
            <w:shd w:val="clear" w:color="auto" w:fill="E5DFEC" w:themeFill="accent4" w:themeFillTint="33"/>
          </w:tcPr>
          <w:p w14:paraId="16FAFEB8"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lang w:val="en-US"/>
              </w:rPr>
            </w:pPr>
            <w:r w:rsidRPr="00DA5119">
              <w:rPr>
                <w:rFonts w:cs="Calibri"/>
                <w:color w:val="000000"/>
                <w:sz w:val="16"/>
                <w:lang w:val="en-US"/>
              </w:rPr>
              <w:t>Other industry</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360A8F05"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Food processing, other manufacturing</w:t>
            </w:r>
          </w:p>
        </w:tc>
        <w:tc>
          <w:tcPr>
            <w:tcW w:w="900" w:type="dxa"/>
            <w:shd w:val="clear" w:color="auto" w:fill="D6E3BC" w:themeFill="accent3" w:themeFillTint="66"/>
          </w:tcPr>
          <w:p w14:paraId="4E1D72CE" w14:textId="5C0D63B9" w:rsidR="00D270AB" w:rsidRPr="00DA5119" w:rsidRDefault="009D243C"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Aluminum</w:t>
            </w:r>
            <w:r w:rsidR="00D270AB" w:rsidRPr="00DA5119">
              <w:rPr>
                <w:rFonts w:cs="Calibri"/>
                <w:color w:val="000000"/>
                <w:sz w:val="16"/>
                <w:szCs w:val="20"/>
                <w:lang w:val="en-US"/>
              </w:rPr>
              <w:t xml:space="preserve"> manufacturing</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D6E3BC" w:themeFill="accent3" w:themeFillTint="66"/>
          </w:tcPr>
          <w:p w14:paraId="5ACA2752"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Other mining, Coal extraction, Crude Oil extraction, Gas extraction and distribution, Metals n.e.s., Fabricated metal products, Food Products, Other manufacturing, Motor vehicles, Electronic Equipment, Textiles</w:t>
            </w:r>
          </w:p>
        </w:tc>
        <w:tc>
          <w:tcPr>
            <w:tcW w:w="900" w:type="dxa"/>
            <w:shd w:val="clear" w:color="auto" w:fill="EAF1DD" w:themeFill="accent3" w:themeFillTint="33"/>
          </w:tcPr>
          <w:p w14:paraId="18535081"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By proxy for emissions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EAF1DD" w:themeFill="accent3" w:themeFillTint="33"/>
          </w:tcPr>
          <w:p w14:paraId="4F4424ED" w14:textId="76AA3583"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industry non-energy</w:t>
            </w:r>
            <w:r w:rsidR="00716021" w:rsidRPr="00DA5119">
              <w:rPr>
                <w:rFonts w:cs="Calibri"/>
                <w:color w:val="000000"/>
                <w:sz w:val="16"/>
                <w:szCs w:val="20"/>
                <w:lang w:val="en-US"/>
              </w:rPr>
              <w:t>, Coal extraction, Crude Oil extraction, Gas extraction</w:t>
            </w:r>
            <w:r w:rsidR="00716021" w:rsidRPr="00DA5119">
              <w:rPr>
                <w:rStyle w:val="CommentReference"/>
              </w:rPr>
              <w:t xml:space="preserve"> </w:t>
            </w:r>
          </w:p>
        </w:tc>
        <w:tc>
          <w:tcPr>
            <w:tcW w:w="811" w:type="dxa"/>
            <w:shd w:val="clear" w:color="auto" w:fill="D6E3BC" w:themeFill="accent3" w:themeFillTint="66"/>
          </w:tcPr>
          <w:p w14:paraId="04497D8E"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Other manufacturing, mining, construction</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EAF1DD" w:themeFill="accent3" w:themeFillTint="33"/>
          </w:tcPr>
          <w:p w14:paraId="126261D1"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industry</w:t>
            </w:r>
          </w:p>
        </w:tc>
        <w:tc>
          <w:tcPr>
            <w:tcW w:w="890" w:type="dxa"/>
            <w:shd w:val="clear" w:color="auto" w:fill="FFC000"/>
          </w:tcPr>
          <w:p w14:paraId="634F4F5D"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No</w:t>
            </w:r>
          </w:p>
        </w:tc>
      </w:tr>
      <w:tr w:rsidR="00D270AB" w:rsidRPr="00DA5119" w14:paraId="3B46F78A" w14:textId="77777777" w:rsidTr="0048772B">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720" w:type="dxa"/>
            <w:vMerge/>
            <w:shd w:val="clear" w:color="auto" w:fill="E5DFEC" w:themeFill="accent4" w:themeFillTint="33"/>
          </w:tcPr>
          <w:p w14:paraId="668449D4" w14:textId="77777777" w:rsidR="00D270AB" w:rsidRPr="00DA5119" w:rsidRDefault="00D270AB" w:rsidP="00DA5119">
            <w:pPr>
              <w:autoSpaceDE w:val="0"/>
              <w:autoSpaceDN w:val="0"/>
              <w:adjustRightInd w:val="0"/>
              <w:ind w:left="-90"/>
              <w:jc w:val="center"/>
              <w:rPr>
                <w:rFonts w:cs="Calibri"/>
                <w:b/>
                <w:bCs/>
                <w:color w:val="000000"/>
                <w:sz w:val="16"/>
                <w:lang w:val="en-US"/>
              </w:rPr>
            </w:pPr>
          </w:p>
        </w:tc>
        <w:tc>
          <w:tcPr>
            <w:tcW w:w="1260" w:type="dxa"/>
            <w:shd w:val="clear" w:color="auto" w:fill="E5DFEC" w:themeFill="accent4" w:themeFillTint="33"/>
          </w:tcPr>
          <w:p w14:paraId="7C1132D6"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lang w:val="en-US"/>
              </w:rPr>
            </w:pPr>
            <w:r w:rsidRPr="00DA5119">
              <w:rPr>
                <w:rFonts w:cs="Calibri"/>
                <w:color w:val="000000"/>
                <w:sz w:val="16"/>
                <w:lang w:val="en-US"/>
              </w:rPr>
              <w:t>Refining</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3AD8405E"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152A1D1C"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D6E3BC" w:themeFill="accent3" w:themeFillTint="66"/>
          </w:tcPr>
          <w:p w14:paraId="0BAB6F2D"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EAF1DD" w:themeFill="accent3" w:themeFillTint="33"/>
          </w:tcPr>
          <w:p w14:paraId="4AD4C712"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By proxy for emissions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D6E3BC" w:themeFill="accent3" w:themeFillTint="66"/>
          </w:tcPr>
          <w:p w14:paraId="28F6EA53" w14:textId="734301F4" w:rsidR="00D270AB" w:rsidRPr="00DA5119" w:rsidRDefault="00D270AB" w:rsidP="00DA5119">
            <w:pPr>
              <w:autoSpaceDE w:val="0"/>
              <w:autoSpaceDN w:val="0"/>
              <w:adjustRightInd w:val="0"/>
              <w:ind w:left="-90"/>
              <w:rPr>
                <w:rFonts w:cs="Calibri"/>
                <w:color w:val="000000"/>
                <w:sz w:val="16"/>
                <w:szCs w:val="20"/>
                <w:lang w:val="en-US"/>
              </w:rPr>
            </w:pPr>
          </w:p>
          <w:p w14:paraId="5FE5E071" w14:textId="590E8D08" w:rsidR="00716021" w:rsidRPr="00DA5119" w:rsidRDefault="00716021"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811" w:type="dxa"/>
            <w:shd w:val="clear" w:color="auto" w:fill="D6E3BC" w:themeFill="accent3" w:themeFillTint="66"/>
          </w:tcPr>
          <w:p w14:paraId="10E04644"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EAF1DD" w:themeFill="accent3" w:themeFillTint="33"/>
          </w:tcPr>
          <w:p w14:paraId="06F451CF"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industry</w:t>
            </w:r>
          </w:p>
        </w:tc>
        <w:tc>
          <w:tcPr>
            <w:tcW w:w="890" w:type="dxa"/>
            <w:shd w:val="clear" w:color="auto" w:fill="FFC000"/>
          </w:tcPr>
          <w:p w14:paraId="65F32107"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No</w:t>
            </w:r>
          </w:p>
        </w:tc>
      </w:tr>
      <w:tr w:rsidR="00D270AB" w:rsidRPr="00DA5119" w14:paraId="205988DD" w14:textId="77777777" w:rsidTr="009D243C">
        <w:trPr>
          <w:trHeight w:val="437"/>
        </w:trPr>
        <w:tc>
          <w:tcPr>
            <w:cnfStyle w:val="000010000000" w:firstRow="0" w:lastRow="0" w:firstColumn="0" w:lastColumn="0" w:oddVBand="1" w:evenVBand="0" w:oddHBand="0" w:evenHBand="0" w:firstRowFirstColumn="0" w:firstRowLastColumn="0" w:lastRowFirstColumn="0" w:lastRowLastColumn="0"/>
            <w:tcW w:w="720" w:type="dxa"/>
            <w:vMerge w:val="restart"/>
            <w:textDirection w:val="btLr"/>
          </w:tcPr>
          <w:p w14:paraId="2C93357C" w14:textId="77777777" w:rsidR="00D270AB" w:rsidRPr="00DA5119" w:rsidRDefault="00D270AB" w:rsidP="00DA5119">
            <w:pPr>
              <w:autoSpaceDE w:val="0"/>
              <w:autoSpaceDN w:val="0"/>
              <w:adjustRightInd w:val="0"/>
              <w:ind w:left="-90" w:right="113"/>
              <w:jc w:val="center"/>
              <w:rPr>
                <w:rFonts w:cs="Calibri"/>
                <w:b/>
                <w:bCs/>
                <w:color w:val="000000"/>
                <w:sz w:val="16"/>
                <w:lang w:val="en-US"/>
              </w:rPr>
            </w:pPr>
            <w:r w:rsidRPr="00DA5119">
              <w:rPr>
                <w:rFonts w:cs="Calibri"/>
                <w:b/>
                <w:bCs/>
                <w:color w:val="000000"/>
                <w:sz w:val="16"/>
                <w:lang w:val="en-US"/>
              </w:rPr>
              <w:t>Transport</w:t>
            </w:r>
          </w:p>
        </w:tc>
        <w:tc>
          <w:tcPr>
            <w:tcW w:w="1260" w:type="dxa"/>
            <w:shd w:val="clear" w:color="auto" w:fill="DBE5F1" w:themeFill="accent1" w:themeFillTint="33"/>
          </w:tcPr>
          <w:p w14:paraId="2677B369"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lang w:val="en-US"/>
              </w:rPr>
            </w:pPr>
            <w:r w:rsidRPr="00DA5119">
              <w:rPr>
                <w:rFonts w:cs="Calibri"/>
                <w:color w:val="000000"/>
                <w:sz w:val="16"/>
                <w:lang w:val="en-US"/>
              </w:rPr>
              <w:t>Passenger road</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592A830F"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4EF2ADF7"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EAF1DD" w:themeFill="accent3" w:themeFillTint="33"/>
          </w:tcPr>
          <w:p w14:paraId="4F08BC90"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transport, excluding private car use</w:t>
            </w:r>
          </w:p>
        </w:tc>
        <w:tc>
          <w:tcPr>
            <w:tcW w:w="900" w:type="dxa"/>
            <w:shd w:val="clear" w:color="auto" w:fill="D6E3BC" w:themeFill="accent3" w:themeFillTint="66"/>
          </w:tcPr>
          <w:p w14:paraId="1D36C65E"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EAF1DD" w:themeFill="accent3" w:themeFillTint="33"/>
          </w:tcPr>
          <w:p w14:paraId="5964C6C2"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transport</w:t>
            </w:r>
          </w:p>
        </w:tc>
        <w:tc>
          <w:tcPr>
            <w:tcW w:w="811" w:type="dxa"/>
            <w:shd w:val="clear" w:color="auto" w:fill="D6E3BC" w:themeFill="accent3" w:themeFillTint="66"/>
          </w:tcPr>
          <w:p w14:paraId="0A29ECAD"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D6E3BC" w:themeFill="accent3" w:themeFillTint="66"/>
          </w:tcPr>
          <w:p w14:paraId="0569676B"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890" w:type="dxa"/>
            <w:shd w:val="clear" w:color="auto" w:fill="EAF1DD" w:themeFill="accent3" w:themeFillTint="33"/>
          </w:tcPr>
          <w:p w14:paraId="37B11AAF"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Only light duty vehicles</w:t>
            </w:r>
          </w:p>
        </w:tc>
      </w:tr>
      <w:tr w:rsidR="00D270AB" w:rsidRPr="00DA5119" w14:paraId="66E086B2" w14:textId="77777777" w:rsidTr="009D243C">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720" w:type="dxa"/>
            <w:vMerge/>
          </w:tcPr>
          <w:p w14:paraId="25E43F3C" w14:textId="77777777" w:rsidR="00D270AB" w:rsidRPr="00DA5119" w:rsidRDefault="00D270AB" w:rsidP="00DA5119">
            <w:pPr>
              <w:autoSpaceDE w:val="0"/>
              <w:autoSpaceDN w:val="0"/>
              <w:adjustRightInd w:val="0"/>
              <w:ind w:left="-90"/>
              <w:jc w:val="center"/>
              <w:rPr>
                <w:rFonts w:cs="Calibri"/>
                <w:b/>
                <w:bCs/>
                <w:color w:val="000000"/>
                <w:sz w:val="16"/>
                <w:lang w:val="en-US"/>
              </w:rPr>
            </w:pPr>
          </w:p>
        </w:tc>
        <w:tc>
          <w:tcPr>
            <w:tcW w:w="1260" w:type="dxa"/>
          </w:tcPr>
          <w:p w14:paraId="405A9612"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lang w:val="en-US"/>
              </w:rPr>
            </w:pPr>
            <w:r w:rsidRPr="00DA5119">
              <w:rPr>
                <w:rFonts w:cs="Calibri"/>
                <w:color w:val="000000"/>
                <w:sz w:val="16"/>
                <w:lang w:val="en-US"/>
              </w:rPr>
              <w:t>Freight road</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6E3C0FFF"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113E9337"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EAF1DD" w:themeFill="accent3" w:themeFillTint="33"/>
          </w:tcPr>
          <w:p w14:paraId="28A255E9"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transport</w:t>
            </w:r>
          </w:p>
        </w:tc>
        <w:tc>
          <w:tcPr>
            <w:tcW w:w="900" w:type="dxa"/>
            <w:shd w:val="clear" w:color="auto" w:fill="D6E3BC" w:themeFill="accent3" w:themeFillTint="66"/>
          </w:tcPr>
          <w:p w14:paraId="76C69692"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EAF1DD" w:themeFill="accent3" w:themeFillTint="33"/>
          </w:tcPr>
          <w:p w14:paraId="3B8B5175"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transport</w:t>
            </w:r>
          </w:p>
        </w:tc>
        <w:tc>
          <w:tcPr>
            <w:tcW w:w="811" w:type="dxa"/>
            <w:shd w:val="clear" w:color="auto" w:fill="D6E3BC" w:themeFill="accent3" w:themeFillTint="66"/>
          </w:tcPr>
          <w:p w14:paraId="6AC0B710"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D6E3BC" w:themeFill="accent3" w:themeFillTint="66"/>
          </w:tcPr>
          <w:p w14:paraId="7E3BDE8A"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890" w:type="dxa"/>
            <w:shd w:val="clear" w:color="auto" w:fill="D6E3BC" w:themeFill="accent3" w:themeFillTint="66"/>
          </w:tcPr>
          <w:p w14:paraId="59D54C64"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r>
      <w:tr w:rsidR="00D270AB" w:rsidRPr="00DA5119" w14:paraId="6EF114BC" w14:textId="77777777" w:rsidTr="009D243C">
        <w:trPr>
          <w:trHeight w:val="657"/>
        </w:trPr>
        <w:tc>
          <w:tcPr>
            <w:cnfStyle w:val="000010000000" w:firstRow="0" w:lastRow="0" w:firstColumn="0" w:lastColumn="0" w:oddVBand="1" w:evenVBand="0" w:oddHBand="0" w:evenHBand="0" w:firstRowFirstColumn="0" w:firstRowLastColumn="0" w:lastRowFirstColumn="0" w:lastRowLastColumn="0"/>
            <w:tcW w:w="720" w:type="dxa"/>
            <w:vMerge/>
          </w:tcPr>
          <w:p w14:paraId="4E9C49DB" w14:textId="77777777" w:rsidR="00D270AB" w:rsidRPr="00DA5119" w:rsidRDefault="00D270AB" w:rsidP="00DA5119">
            <w:pPr>
              <w:autoSpaceDE w:val="0"/>
              <w:autoSpaceDN w:val="0"/>
              <w:adjustRightInd w:val="0"/>
              <w:ind w:left="-90"/>
              <w:jc w:val="center"/>
              <w:rPr>
                <w:rFonts w:cs="Calibri"/>
                <w:b/>
                <w:bCs/>
                <w:color w:val="000000"/>
                <w:sz w:val="16"/>
                <w:lang w:val="en-US"/>
              </w:rPr>
            </w:pPr>
          </w:p>
        </w:tc>
        <w:tc>
          <w:tcPr>
            <w:tcW w:w="1260" w:type="dxa"/>
            <w:shd w:val="clear" w:color="auto" w:fill="DBE5F1" w:themeFill="accent1" w:themeFillTint="33"/>
          </w:tcPr>
          <w:p w14:paraId="5CCA45AD"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lang w:val="en-US"/>
              </w:rPr>
            </w:pPr>
            <w:r w:rsidRPr="00DA5119">
              <w:rPr>
                <w:rFonts w:cs="Calibri"/>
                <w:color w:val="000000"/>
                <w:sz w:val="16"/>
                <w:lang w:val="en-US"/>
              </w:rPr>
              <w:t>Passenger rail</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56DFE5FF"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EAF1DD" w:themeFill="accent3" w:themeFillTint="33"/>
          </w:tcPr>
          <w:p w14:paraId="668753E8"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Aggregated rail transport</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EAF1DD" w:themeFill="accent3" w:themeFillTint="33"/>
          </w:tcPr>
          <w:p w14:paraId="70AAD72D"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transport</w:t>
            </w:r>
          </w:p>
        </w:tc>
        <w:tc>
          <w:tcPr>
            <w:tcW w:w="900" w:type="dxa"/>
            <w:shd w:val="clear" w:color="auto" w:fill="D6E3BC" w:themeFill="accent3" w:themeFillTint="66"/>
          </w:tcPr>
          <w:p w14:paraId="650DC8C4"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EAF1DD" w:themeFill="accent3" w:themeFillTint="33"/>
          </w:tcPr>
          <w:p w14:paraId="5CDBE4F0"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transport</w:t>
            </w:r>
          </w:p>
        </w:tc>
        <w:tc>
          <w:tcPr>
            <w:tcW w:w="811" w:type="dxa"/>
            <w:shd w:val="clear" w:color="auto" w:fill="D6E3BC" w:themeFill="accent3" w:themeFillTint="66"/>
          </w:tcPr>
          <w:p w14:paraId="7AEAADF1"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EAF1DD" w:themeFill="accent3" w:themeFillTint="33"/>
          </w:tcPr>
          <w:p w14:paraId="181FDFD4"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to rail (no differentiation passenger vs. Freight)</w:t>
            </w:r>
          </w:p>
        </w:tc>
        <w:tc>
          <w:tcPr>
            <w:tcW w:w="890" w:type="dxa"/>
            <w:shd w:val="clear" w:color="auto" w:fill="FFC000"/>
          </w:tcPr>
          <w:p w14:paraId="19DA8370"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no</w:t>
            </w:r>
          </w:p>
        </w:tc>
      </w:tr>
      <w:tr w:rsidR="00D270AB" w:rsidRPr="00DA5119" w14:paraId="33616EF7" w14:textId="77777777" w:rsidTr="009D243C">
        <w:trPr>
          <w:cnfStyle w:val="000000100000" w:firstRow="0" w:lastRow="0" w:firstColumn="0" w:lastColumn="0" w:oddVBand="0" w:evenVBand="0" w:oddHBand="1" w:evenHBand="0" w:firstRowFirstColumn="0" w:firstRowLastColumn="0" w:lastRowFirstColumn="0" w:lastRowLastColumn="0"/>
          <w:trHeight w:val="657"/>
        </w:trPr>
        <w:tc>
          <w:tcPr>
            <w:cnfStyle w:val="000010000000" w:firstRow="0" w:lastRow="0" w:firstColumn="0" w:lastColumn="0" w:oddVBand="1" w:evenVBand="0" w:oddHBand="0" w:evenHBand="0" w:firstRowFirstColumn="0" w:firstRowLastColumn="0" w:lastRowFirstColumn="0" w:lastRowLastColumn="0"/>
            <w:tcW w:w="720" w:type="dxa"/>
            <w:vMerge/>
          </w:tcPr>
          <w:p w14:paraId="31B56137" w14:textId="77777777" w:rsidR="00D270AB" w:rsidRPr="00DA5119" w:rsidRDefault="00D270AB" w:rsidP="00DA5119">
            <w:pPr>
              <w:autoSpaceDE w:val="0"/>
              <w:autoSpaceDN w:val="0"/>
              <w:adjustRightInd w:val="0"/>
              <w:ind w:left="-90"/>
              <w:jc w:val="center"/>
              <w:rPr>
                <w:rFonts w:cs="Calibri"/>
                <w:b/>
                <w:bCs/>
                <w:color w:val="000000"/>
                <w:sz w:val="16"/>
                <w:lang w:val="en-US"/>
              </w:rPr>
            </w:pPr>
          </w:p>
        </w:tc>
        <w:tc>
          <w:tcPr>
            <w:tcW w:w="1260" w:type="dxa"/>
          </w:tcPr>
          <w:p w14:paraId="165F4AA2"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lang w:val="en-US"/>
              </w:rPr>
            </w:pPr>
            <w:r w:rsidRPr="00DA5119">
              <w:rPr>
                <w:rFonts w:cs="Calibri"/>
                <w:color w:val="000000"/>
                <w:sz w:val="16"/>
                <w:lang w:val="en-US"/>
              </w:rPr>
              <w:t>Freight rail</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60BEDF8C"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EAF1DD" w:themeFill="accent3" w:themeFillTint="33"/>
          </w:tcPr>
          <w:p w14:paraId="1592EEA1"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Aggregated rail transport</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EAF1DD" w:themeFill="accent3" w:themeFillTint="33"/>
          </w:tcPr>
          <w:p w14:paraId="40D95820"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transport</w:t>
            </w:r>
          </w:p>
        </w:tc>
        <w:tc>
          <w:tcPr>
            <w:tcW w:w="900" w:type="dxa"/>
            <w:shd w:val="clear" w:color="auto" w:fill="D6E3BC" w:themeFill="accent3" w:themeFillTint="66"/>
          </w:tcPr>
          <w:p w14:paraId="6D16A1F5"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EAF1DD" w:themeFill="accent3" w:themeFillTint="33"/>
          </w:tcPr>
          <w:p w14:paraId="18502825"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transport</w:t>
            </w:r>
          </w:p>
        </w:tc>
        <w:tc>
          <w:tcPr>
            <w:tcW w:w="811" w:type="dxa"/>
            <w:shd w:val="clear" w:color="auto" w:fill="D6E3BC" w:themeFill="accent3" w:themeFillTint="66"/>
          </w:tcPr>
          <w:p w14:paraId="5620DBE5"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EAF1DD" w:themeFill="accent3" w:themeFillTint="33"/>
          </w:tcPr>
          <w:p w14:paraId="45A0D2D5"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Aggregated to rail (no differentiation passenger vs. Freight)</w:t>
            </w:r>
          </w:p>
        </w:tc>
        <w:tc>
          <w:tcPr>
            <w:tcW w:w="890" w:type="dxa"/>
            <w:shd w:val="clear" w:color="auto" w:fill="FFC000"/>
          </w:tcPr>
          <w:p w14:paraId="45C50BC5"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no</w:t>
            </w:r>
          </w:p>
        </w:tc>
      </w:tr>
      <w:tr w:rsidR="00D270AB" w:rsidRPr="00DA5119" w14:paraId="44C351BF" w14:textId="77777777" w:rsidTr="009D243C">
        <w:trPr>
          <w:trHeight w:val="437"/>
        </w:trPr>
        <w:tc>
          <w:tcPr>
            <w:cnfStyle w:val="000010000000" w:firstRow="0" w:lastRow="0" w:firstColumn="0" w:lastColumn="0" w:oddVBand="1" w:evenVBand="0" w:oddHBand="0" w:evenHBand="0" w:firstRowFirstColumn="0" w:firstRowLastColumn="0" w:lastRowFirstColumn="0" w:lastRowLastColumn="0"/>
            <w:tcW w:w="720" w:type="dxa"/>
            <w:vMerge/>
          </w:tcPr>
          <w:p w14:paraId="3BEAD0DF" w14:textId="77777777" w:rsidR="00D270AB" w:rsidRPr="00DA5119" w:rsidRDefault="00D270AB" w:rsidP="00DA5119">
            <w:pPr>
              <w:autoSpaceDE w:val="0"/>
              <w:autoSpaceDN w:val="0"/>
              <w:adjustRightInd w:val="0"/>
              <w:ind w:left="-90"/>
              <w:jc w:val="center"/>
              <w:rPr>
                <w:rFonts w:cs="Calibri"/>
                <w:b/>
                <w:bCs/>
                <w:color w:val="000000"/>
                <w:sz w:val="16"/>
                <w:lang w:val="en-US"/>
              </w:rPr>
            </w:pPr>
          </w:p>
        </w:tc>
        <w:tc>
          <w:tcPr>
            <w:tcW w:w="1260" w:type="dxa"/>
            <w:shd w:val="clear" w:color="auto" w:fill="DBE5F1" w:themeFill="accent1" w:themeFillTint="33"/>
          </w:tcPr>
          <w:p w14:paraId="3A5BDE5E"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lang w:val="en-US"/>
              </w:rPr>
            </w:pPr>
            <w:r w:rsidRPr="00DA5119">
              <w:rPr>
                <w:rFonts w:cs="Calibri"/>
                <w:color w:val="000000"/>
                <w:sz w:val="16"/>
                <w:lang w:val="en-US"/>
              </w:rPr>
              <w:t>Aviation</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716E9071"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39A82627"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D6E3BC" w:themeFill="accent3" w:themeFillTint="66"/>
          </w:tcPr>
          <w:p w14:paraId="02CC7D9D"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79FBA289"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EAF1DD" w:themeFill="accent3" w:themeFillTint="33"/>
          </w:tcPr>
          <w:p w14:paraId="45974BF2"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 but only at the global level</w:t>
            </w:r>
          </w:p>
        </w:tc>
        <w:tc>
          <w:tcPr>
            <w:tcW w:w="811" w:type="dxa"/>
            <w:shd w:val="clear" w:color="auto" w:fill="D6E3BC" w:themeFill="accent3" w:themeFillTint="66"/>
          </w:tcPr>
          <w:p w14:paraId="58495C27"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C000"/>
          </w:tcPr>
          <w:p w14:paraId="11612AD3"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No (exogenous emissions)</w:t>
            </w:r>
          </w:p>
        </w:tc>
        <w:tc>
          <w:tcPr>
            <w:tcW w:w="890" w:type="dxa"/>
            <w:shd w:val="clear" w:color="auto" w:fill="D6E3BC" w:themeFill="accent3" w:themeFillTint="66"/>
          </w:tcPr>
          <w:p w14:paraId="57B48E48" w14:textId="77777777" w:rsidR="00D270AB" w:rsidRPr="00DA5119" w:rsidRDefault="00D270AB"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r>
      <w:tr w:rsidR="00D270AB" w:rsidRPr="00DA5119" w14:paraId="250B23C8" w14:textId="77777777" w:rsidTr="009D243C">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720" w:type="dxa"/>
            <w:vMerge/>
          </w:tcPr>
          <w:p w14:paraId="1423F451" w14:textId="77777777" w:rsidR="00D270AB" w:rsidRPr="00DA5119" w:rsidRDefault="00D270AB" w:rsidP="00DA5119">
            <w:pPr>
              <w:autoSpaceDE w:val="0"/>
              <w:autoSpaceDN w:val="0"/>
              <w:adjustRightInd w:val="0"/>
              <w:ind w:left="-90"/>
              <w:jc w:val="center"/>
              <w:rPr>
                <w:rFonts w:cs="Calibri"/>
                <w:b/>
                <w:bCs/>
                <w:color w:val="000000"/>
                <w:sz w:val="16"/>
                <w:lang w:val="en-US"/>
              </w:rPr>
            </w:pPr>
          </w:p>
        </w:tc>
        <w:tc>
          <w:tcPr>
            <w:tcW w:w="1260" w:type="dxa"/>
          </w:tcPr>
          <w:p w14:paraId="4260786E"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lang w:val="en-US"/>
              </w:rPr>
            </w:pPr>
            <w:r w:rsidRPr="00DA5119">
              <w:rPr>
                <w:rFonts w:cs="Calibri"/>
                <w:color w:val="000000"/>
                <w:sz w:val="16"/>
                <w:lang w:val="en-US"/>
              </w:rPr>
              <w:t>Navigation</w:t>
            </w:r>
          </w:p>
        </w:tc>
        <w:tc>
          <w:tcPr>
            <w:cnfStyle w:val="000010000000" w:firstRow="0" w:lastRow="0" w:firstColumn="0" w:lastColumn="0" w:oddVBand="1" w:evenVBand="0" w:oddHBand="0" w:evenHBand="0" w:firstRowFirstColumn="0" w:firstRowLastColumn="0" w:lastRowFirstColumn="0" w:lastRowLastColumn="0"/>
            <w:tcW w:w="630" w:type="dxa"/>
            <w:shd w:val="clear" w:color="auto" w:fill="D6E3BC" w:themeFill="accent3" w:themeFillTint="66"/>
          </w:tcPr>
          <w:p w14:paraId="09F8E5DC"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2C96F0DB"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D6E3BC" w:themeFill="accent3" w:themeFillTint="66"/>
          </w:tcPr>
          <w:p w14:paraId="35A2C36C"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900" w:type="dxa"/>
            <w:shd w:val="clear" w:color="auto" w:fill="D6E3BC" w:themeFill="accent3" w:themeFillTint="66"/>
          </w:tcPr>
          <w:p w14:paraId="402FD31C"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EAF1DD" w:themeFill="accent3" w:themeFillTint="33"/>
          </w:tcPr>
          <w:p w14:paraId="05C2C0F4"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 but only at the global level</w:t>
            </w:r>
          </w:p>
        </w:tc>
        <w:tc>
          <w:tcPr>
            <w:tcW w:w="811" w:type="dxa"/>
            <w:shd w:val="clear" w:color="auto" w:fill="D6E3BC" w:themeFill="accent3" w:themeFillTint="66"/>
          </w:tcPr>
          <w:p w14:paraId="1B70F3B6"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FFC000"/>
          </w:tcPr>
          <w:p w14:paraId="574240E4" w14:textId="77777777" w:rsidR="00D270AB" w:rsidRPr="00DA5119" w:rsidRDefault="00D270AB"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No (exogenous emissions)</w:t>
            </w:r>
          </w:p>
        </w:tc>
        <w:tc>
          <w:tcPr>
            <w:tcW w:w="890" w:type="dxa"/>
            <w:shd w:val="clear" w:color="auto" w:fill="D6E3BC" w:themeFill="accent3" w:themeFillTint="66"/>
          </w:tcPr>
          <w:p w14:paraId="23C05860" w14:textId="77777777" w:rsidR="00D270AB" w:rsidRPr="00DA5119" w:rsidRDefault="00D270AB" w:rsidP="00DA5119">
            <w:pPr>
              <w:autoSpaceDE w:val="0"/>
              <w:autoSpaceDN w:val="0"/>
              <w:adjustRightInd w:val="0"/>
              <w:ind w:left="-90"/>
              <w:cnfStyle w:val="000000100000" w:firstRow="0" w:lastRow="0" w:firstColumn="0" w:lastColumn="0" w:oddVBand="0" w:evenVBand="0" w:oddHBand="1"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r>
      <w:tr w:rsidR="009D243C" w:rsidRPr="00DA5119" w14:paraId="0FBC5D75" w14:textId="77777777" w:rsidTr="009D243C">
        <w:trPr>
          <w:trHeight w:val="528"/>
        </w:trPr>
        <w:tc>
          <w:tcPr>
            <w:cnfStyle w:val="000010000000" w:firstRow="0" w:lastRow="0" w:firstColumn="0" w:lastColumn="0" w:oddVBand="1" w:evenVBand="0" w:oddHBand="0" w:evenHBand="0" w:firstRowFirstColumn="0" w:firstRowLastColumn="0" w:lastRowFirstColumn="0" w:lastRowLastColumn="0"/>
            <w:tcW w:w="720" w:type="dxa"/>
          </w:tcPr>
          <w:p w14:paraId="37687F61" w14:textId="77777777" w:rsidR="005840A4" w:rsidRPr="00DA5119" w:rsidRDefault="005840A4" w:rsidP="00DA5119">
            <w:pPr>
              <w:autoSpaceDE w:val="0"/>
              <w:autoSpaceDN w:val="0"/>
              <w:adjustRightInd w:val="0"/>
              <w:ind w:left="-90"/>
              <w:jc w:val="right"/>
              <w:rPr>
                <w:rFonts w:cs="Calibri"/>
                <w:b/>
                <w:bCs/>
                <w:color w:val="000000"/>
                <w:sz w:val="16"/>
                <w:lang w:val="en-US"/>
              </w:rPr>
            </w:pPr>
          </w:p>
        </w:tc>
        <w:tc>
          <w:tcPr>
            <w:tcW w:w="1260" w:type="dxa"/>
            <w:shd w:val="clear" w:color="auto" w:fill="DBE5F1" w:themeFill="accent1" w:themeFillTint="33"/>
          </w:tcPr>
          <w:p w14:paraId="3EEB9045" w14:textId="77777777" w:rsidR="005840A4" w:rsidRPr="00DA5119" w:rsidRDefault="005840A4"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lang w:val="en-US"/>
              </w:rPr>
            </w:pPr>
            <w:r w:rsidRPr="00DA5119">
              <w:rPr>
                <w:rFonts w:cs="Calibri"/>
                <w:color w:val="000000"/>
                <w:sz w:val="16"/>
                <w:lang w:val="en-US"/>
              </w:rPr>
              <w:t>Distinction petrol (LLF) and diesel (HLF)?</w:t>
            </w:r>
          </w:p>
        </w:tc>
        <w:tc>
          <w:tcPr>
            <w:cnfStyle w:val="000010000000" w:firstRow="0" w:lastRow="0" w:firstColumn="0" w:lastColumn="0" w:oddVBand="1" w:evenVBand="0" w:oddHBand="0" w:evenHBand="0" w:firstRowFirstColumn="0" w:firstRowLastColumn="0" w:lastRowFirstColumn="0" w:lastRowLastColumn="0"/>
            <w:tcW w:w="630" w:type="dxa"/>
            <w:shd w:val="clear" w:color="auto" w:fill="FFC000"/>
          </w:tcPr>
          <w:p w14:paraId="6E0A6D59" w14:textId="77777777" w:rsidR="005840A4" w:rsidRPr="00DA5119" w:rsidRDefault="005840A4"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No</w:t>
            </w:r>
          </w:p>
        </w:tc>
        <w:tc>
          <w:tcPr>
            <w:tcW w:w="900" w:type="dxa"/>
            <w:shd w:val="clear" w:color="auto" w:fill="D6E3BC" w:themeFill="accent3" w:themeFillTint="66"/>
          </w:tcPr>
          <w:p w14:paraId="2111D7B6" w14:textId="77777777" w:rsidR="005840A4" w:rsidRPr="00DA5119" w:rsidRDefault="005840A4"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826" w:type="dxa"/>
            <w:shd w:val="clear" w:color="auto" w:fill="FFC000"/>
          </w:tcPr>
          <w:p w14:paraId="448D15A4" w14:textId="77777777" w:rsidR="005840A4" w:rsidRPr="00DA5119" w:rsidRDefault="005840A4"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No</w:t>
            </w:r>
          </w:p>
        </w:tc>
        <w:tc>
          <w:tcPr>
            <w:tcW w:w="900" w:type="dxa"/>
            <w:shd w:val="clear" w:color="auto" w:fill="EAF1DD" w:themeFill="accent3" w:themeFillTint="33"/>
          </w:tcPr>
          <w:p w14:paraId="73841B14" w14:textId="77777777" w:rsidR="005840A4" w:rsidRPr="00DA5119" w:rsidRDefault="005840A4"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 exogenous</w:t>
            </w:r>
          </w:p>
        </w:tc>
        <w:tc>
          <w:tcPr>
            <w:cnfStyle w:val="000010000000" w:firstRow="0" w:lastRow="0" w:firstColumn="0" w:lastColumn="0" w:oddVBand="1" w:evenVBand="0" w:oddHBand="0" w:evenHBand="0" w:firstRowFirstColumn="0" w:firstRowLastColumn="0" w:lastRowFirstColumn="0" w:lastRowLastColumn="0"/>
            <w:tcW w:w="1101" w:type="dxa"/>
            <w:shd w:val="clear" w:color="auto" w:fill="FFC000"/>
          </w:tcPr>
          <w:p w14:paraId="2E0FBAB0" w14:textId="77777777" w:rsidR="005840A4" w:rsidRPr="00DA5119" w:rsidRDefault="005840A4"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No</w:t>
            </w:r>
          </w:p>
        </w:tc>
        <w:tc>
          <w:tcPr>
            <w:tcW w:w="811" w:type="dxa"/>
            <w:shd w:val="clear" w:color="auto" w:fill="D6E3BC" w:themeFill="accent3" w:themeFillTint="66"/>
          </w:tcPr>
          <w:p w14:paraId="2C79C57C" w14:textId="77777777" w:rsidR="005840A4" w:rsidRPr="00DA5119" w:rsidRDefault="005840A4"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Yes</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D6E3BC" w:themeFill="accent3" w:themeFillTint="66"/>
          </w:tcPr>
          <w:p w14:paraId="5699EDD4" w14:textId="77777777" w:rsidR="005840A4" w:rsidRPr="00DA5119" w:rsidRDefault="005840A4" w:rsidP="00DA5119">
            <w:pPr>
              <w:autoSpaceDE w:val="0"/>
              <w:autoSpaceDN w:val="0"/>
              <w:adjustRightInd w:val="0"/>
              <w:ind w:left="-90"/>
              <w:rPr>
                <w:rFonts w:cs="Calibri"/>
                <w:color w:val="000000"/>
                <w:sz w:val="16"/>
                <w:szCs w:val="20"/>
                <w:lang w:val="en-US"/>
              </w:rPr>
            </w:pPr>
            <w:r w:rsidRPr="00DA5119">
              <w:rPr>
                <w:rFonts w:cs="Calibri"/>
                <w:color w:val="000000"/>
                <w:sz w:val="16"/>
                <w:szCs w:val="20"/>
                <w:lang w:val="en-US"/>
              </w:rPr>
              <w:t>Yes</w:t>
            </w:r>
          </w:p>
        </w:tc>
        <w:tc>
          <w:tcPr>
            <w:tcW w:w="890" w:type="dxa"/>
            <w:shd w:val="clear" w:color="auto" w:fill="FFC000"/>
          </w:tcPr>
          <w:p w14:paraId="6A45B84D" w14:textId="77777777" w:rsidR="005840A4" w:rsidRPr="00DA5119" w:rsidRDefault="005840A4" w:rsidP="00DA5119">
            <w:pPr>
              <w:autoSpaceDE w:val="0"/>
              <w:autoSpaceDN w:val="0"/>
              <w:adjustRightInd w:val="0"/>
              <w:ind w:left="-90"/>
              <w:cnfStyle w:val="000000000000" w:firstRow="0" w:lastRow="0" w:firstColumn="0" w:lastColumn="0" w:oddVBand="0" w:evenVBand="0" w:oddHBand="0" w:evenHBand="0" w:firstRowFirstColumn="0" w:firstRowLastColumn="0" w:lastRowFirstColumn="0" w:lastRowLastColumn="0"/>
              <w:rPr>
                <w:rFonts w:cs="Calibri"/>
                <w:color w:val="000000"/>
                <w:sz w:val="16"/>
                <w:szCs w:val="20"/>
                <w:lang w:val="en-US"/>
              </w:rPr>
            </w:pPr>
            <w:r w:rsidRPr="00DA5119">
              <w:rPr>
                <w:rFonts w:cs="Calibri"/>
                <w:color w:val="000000"/>
                <w:sz w:val="16"/>
                <w:szCs w:val="20"/>
                <w:lang w:val="en-US"/>
              </w:rPr>
              <w:t>No</w:t>
            </w:r>
          </w:p>
        </w:tc>
      </w:tr>
    </w:tbl>
    <w:p w14:paraId="31CE190B" w14:textId="76E01732" w:rsidR="000E766D" w:rsidRPr="00DA5119" w:rsidRDefault="007F3A28" w:rsidP="00DA5119">
      <w:pPr>
        <w:pStyle w:val="Heading3"/>
        <w:ind w:left="-90"/>
        <w:rPr>
          <w:rFonts w:asciiTheme="minorHAnsi" w:hAnsiTheme="minorHAnsi"/>
          <w:lang w:val="en-US"/>
        </w:rPr>
      </w:pPr>
      <w:r w:rsidRPr="00DA5119">
        <w:rPr>
          <w:rFonts w:asciiTheme="minorHAnsi" w:hAnsiTheme="minorHAnsi"/>
          <w:lang w:val="en-US"/>
        </w:rPr>
        <w:t xml:space="preserve">S2 </w:t>
      </w:r>
      <w:r w:rsidR="000E766D" w:rsidRPr="00DA5119">
        <w:rPr>
          <w:rFonts w:asciiTheme="minorHAnsi" w:hAnsiTheme="minorHAnsi"/>
          <w:lang w:val="en-US"/>
        </w:rPr>
        <w:t>Potential HFC reductions resulting from the Kigali Amendment of the Montreal Protocol</w:t>
      </w:r>
    </w:p>
    <w:p w14:paraId="4AA392D0" w14:textId="77777777" w:rsidR="000E766D" w:rsidRPr="00DA5119" w:rsidRDefault="000E766D" w:rsidP="00DA5119">
      <w:pPr>
        <w:ind w:left="-90"/>
        <w:rPr>
          <w:lang w:val="en-US"/>
        </w:rPr>
      </w:pPr>
    </w:p>
    <w:p w14:paraId="6EED8A1F" w14:textId="612EF3D1" w:rsidR="007B6588" w:rsidRPr="00DA5119" w:rsidRDefault="000E766D" w:rsidP="00DA5119">
      <w:pPr>
        <w:ind w:left="-90"/>
        <w:jc w:val="both"/>
        <w:rPr>
          <w:lang w:val="en-US"/>
        </w:rPr>
      </w:pPr>
      <w:r w:rsidRPr="00DA5119">
        <w:rPr>
          <w:lang w:val="en-US"/>
        </w:rPr>
        <w:lastRenderedPageBreak/>
        <w:t xml:space="preserve">An assessment of the potential impact of including HFCs in the Montreal protocol has been done with the IMAGE model at the PBL Netherlands Environmental Assessment Agency </w:t>
      </w:r>
      <w:r w:rsidRPr="00DA5119">
        <w:rPr>
          <w:lang w:val="en-US"/>
        </w:rPr>
        <w:fldChar w:fldCharType="begin"/>
      </w:r>
      <w:r w:rsidR="00EF1FA1" w:rsidRPr="00DA5119">
        <w:rPr>
          <w:lang w:val="en-US"/>
        </w:rPr>
        <w:instrText xml:space="preserve"> ADDIN EN.CITE &lt;EndNote&gt;&lt;Cite&gt;&lt;Author&gt;PBL&lt;/Author&gt;&lt;Year&gt;2015&lt;/Year&gt;&lt;RecNum&gt;303&lt;/RecNum&gt;&lt;DisplayText&gt;(PBL, 2015)&lt;/DisplayText&gt;&lt;record&gt;&lt;rec-number&gt;303&lt;/rec-number&gt;&lt;foreign-keys&gt;&lt;key app="EN" db-id="ewxvdw52e55r2gefrsovdxwk0xrz0v2zfp2s" timestamp="1488561780"&gt;303&lt;/key&gt;&lt;/foreign-keys&gt;&lt;ref-type name="Journal Article"&gt;17&lt;/ref-type&gt;&lt;contributors&gt;&lt;authors&gt;&lt;author&gt;PBL&lt;/author&gt;&lt;/authors&gt;&lt;/contributors&gt;&lt;titles&gt;&lt;title&gt;Climate action outside the UNFCCC, Assessment of the impact of international cooperative initiatives on greenhouse gas emissions. PBL Policy brief&lt;/title&gt;&lt;/titles&gt;&lt;volume&gt;Publication number 1188&lt;/volume&gt;&lt;dates&gt;&lt;year&gt;2015&lt;/year&gt;&lt;/dates&gt;&lt;urls&gt;&lt;/urls&gt;&lt;/record&gt;&lt;/Cite&gt;&lt;/EndNote&gt;</w:instrText>
      </w:r>
      <w:r w:rsidRPr="00DA5119">
        <w:rPr>
          <w:lang w:val="en-US"/>
        </w:rPr>
        <w:fldChar w:fldCharType="separate"/>
      </w:r>
      <w:r w:rsidR="00EF1FA1" w:rsidRPr="00DA5119">
        <w:rPr>
          <w:noProof/>
          <w:lang w:val="en-US"/>
        </w:rPr>
        <w:t>(</w:t>
      </w:r>
      <w:hyperlink w:anchor="_ENREF_24" w:tooltip="PBL, 2015 #303" w:history="1">
        <w:r w:rsidR="00884561" w:rsidRPr="00DA5119">
          <w:rPr>
            <w:noProof/>
            <w:lang w:val="en-US"/>
          </w:rPr>
          <w:t>PBL, 2015</w:t>
        </w:r>
      </w:hyperlink>
      <w:r w:rsidR="00EF1FA1" w:rsidRPr="00DA5119">
        <w:rPr>
          <w:noProof/>
          <w:lang w:val="en-US"/>
        </w:rPr>
        <w:t>)</w:t>
      </w:r>
      <w:r w:rsidRPr="00DA5119">
        <w:rPr>
          <w:lang w:val="en-US"/>
        </w:rPr>
        <w:fldChar w:fldCharType="end"/>
      </w:r>
      <w:r w:rsidRPr="00DA5119">
        <w:rPr>
          <w:lang w:val="en-US"/>
        </w:rPr>
        <w:t>.</w:t>
      </w:r>
      <w:r w:rsidR="007B6588" w:rsidRPr="00DA5119">
        <w:rPr>
          <w:lang w:val="en-US"/>
        </w:rPr>
        <w:t xml:space="preserve"> According to this study, the successful execution of the Kigali amendment would lead to a reduction of roughly 5</w:t>
      </w:r>
      <w:r w:rsidR="005106B7" w:rsidRPr="00DA5119">
        <w:rPr>
          <w:lang w:val="en-US"/>
        </w:rPr>
        <w:t>4</w:t>
      </w:r>
      <w:r w:rsidR="007B6588" w:rsidRPr="00DA5119">
        <w:rPr>
          <w:lang w:val="en-US"/>
        </w:rPr>
        <w:t>% of the global HFC emissions in 2030 compared to a no policy case.</w:t>
      </w:r>
      <w:r w:rsidR="007B6588" w:rsidRPr="00DA5119">
        <w:rPr>
          <w:rStyle w:val="FootnoteReference"/>
          <w:lang w:val="en-US"/>
        </w:rPr>
        <w:footnoteReference w:id="1"/>
      </w:r>
    </w:p>
    <w:p w14:paraId="4D633BD9" w14:textId="77777777" w:rsidR="000E766D" w:rsidRPr="00DA5119" w:rsidRDefault="000E766D" w:rsidP="00DA5119">
      <w:pPr>
        <w:pStyle w:val="NoSpacing"/>
        <w:ind w:left="-90"/>
        <w:jc w:val="both"/>
        <w:rPr>
          <w:i/>
          <w:lang w:val="en-US"/>
        </w:rPr>
      </w:pPr>
      <w:r w:rsidRPr="00DA5119">
        <w:rPr>
          <w:i/>
          <w:lang w:val="en-US"/>
        </w:rPr>
        <w:t>Text from that study (with some text edits):</w:t>
      </w:r>
    </w:p>
    <w:p w14:paraId="72FBDE4E" w14:textId="4DBA24C2" w:rsidR="000E766D" w:rsidRPr="00DA5119" w:rsidRDefault="000E766D" w:rsidP="00DA5119">
      <w:pPr>
        <w:ind w:left="-90"/>
        <w:jc w:val="both"/>
        <w:rPr>
          <w:lang w:val="en-US"/>
        </w:rPr>
      </w:pPr>
      <w:r w:rsidRPr="00DA5119">
        <w:rPr>
          <w:lang w:val="en-US"/>
        </w:rPr>
        <w:t xml:space="preserve">The Kigali Amendment contains a reduction scheme up until 2043 with a delayed phasing-out for Article 5 (mainly </w:t>
      </w:r>
      <w:r w:rsidR="007F3A28" w:rsidRPr="00DA5119">
        <w:rPr>
          <w:lang w:val="en-US"/>
        </w:rPr>
        <w:t>developing countries). Figure S2.1</w:t>
      </w:r>
      <w:r w:rsidRPr="00DA5119">
        <w:rPr>
          <w:lang w:val="en-US"/>
        </w:rPr>
        <w:t>. shows the emission reduction pathway if the reduction scheme is precisely followed.</w:t>
      </w:r>
    </w:p>
    <w:p w14:paraId="438C42D5" w14:textId="77777777" w:rsidR="000E766D" w:rsidRPr="00DA5119" w:rsidRDefault="000E766D" w:rsidP="00DA5119">
      <w:pPr>
        <w:ind w:left="-90"/>
        <w:jc w:val="both"/>
        <w:rPr>
          <w:lang w:val="en-US"/>
        </w:rPr>
      </w:pPr>
      <w:r w:rsidRPr="00DA5119">
        <w:rPr>
          <w:lang w:val="en-US"/>
        </w:rPr>
        <w:t>All countries are expected to observe the HFC amendment as they are all signatories to the Montreal Protocol. The emission reductions resulting from implementation of the proposed reduction scheme are projected to amount to 0.7 GtCO</w:t>
      </w:r>
      <w:r w:rsidRPr="00DA5119">
        <w:rPr>
          <w:vertAlign w:val="subscript"/>
          <w:lang w:val="en-US"/>
        </w:rPr>
        <w:t>2</w:t>
      </w:r>
      <w:r w:rsidRPr="00DA5119">
        <w:rPr>
          <w:lang w:val="en-US"/>
        </w:rPr>
        <w:t>e by 2030, relative to a baseline of 1.3 GtCO</w:t>
      </w:r>
      <w:r w:rsidRPr="00DA5119">
        <w:rPr>
          <w:vertAlign w:val="subscript"/>
          <w:lang w:val="en-US"/>
        </w:rPr>
        <w:t>2</w:t>
      </w:r>
      <w:r w:rsidRPr="00DA5119">
        <w:rPr>
          <w:lang w:val="en-US"/>
        </w:rPr>
        <w:t>e. These reductions account for the substitution of hydrochlorofluorocarbons (HCFCs) by HFCs, as prescribed by the proposal. This inclusion of HCFCs also explains the decrease and subsequent increase in HFC emissions. The volume of HCFCs is based on EPA (2013a). Baseline emissions for HFCs are projected to increase from the present day level of 0.5 GtCO</w:t>
      </w:r>
      <w:r w:rsidRPr="00DA5119">
        <w:rPr>
          <w:vertAlign w:val="subscript"/>
          <w:lang w:val="en-US"/>
        </w:rPr>
        <w:t>2</w:t>
      </w:r>
      <w:r w:rsidRPr="00DA5119">
        <w:rPr>
          <w:lang w:val="en-US"/>
        </w:rPr>
        <w:t>e to 1.3 GtCO</w:t>
      </w:r>
      <w:r w:rsidRPr="00DA5119">
        <w:rPr>
          <w:vertAlign w:val="subscript"/>
          <w:lang w:val="en-US"/>
        </w:rPr>
        <w:t>2</w:t>
      </w:r>
      <w:r w:rsidRPr="00DA5119">
        <w:rPr>
          <w:lang w:val="en-US"/>
        </w:rPr>
        <w:t>e by 2030. More reductions are expected after 2030, as the proposal runs until 2043.</w:t>
      </w:r>
    </w:p>
    <w:p w14:paraId="738797FA" w14:textId="0B790B8C" w:rsidR="000E766D" w:rsidRPr="00DA5119" w:rsidRDefault="007F3A28" w:rsidP="00DA5119">
      <w:pPr>
        <w:ind w:left="-90"/>
        <w:jc w:val="both"/>
        <w:rPr>
          <w:sz w:val="20"/>
          <w:szCs w:val="20"/>
          <w:lang w:val="en-US"/>
        </w:rPr>
      </w:pPr>
      <w:r w:rsidRPr="00DA5119">
        <w:rPr>
          <w:b/>
          <w:sz w:val="20"/>
          <w:szCs w:val="20"/>
          <w:lang w:val="en-US"/>
        </w:rPr>
        <w:t>Figure S2.1</w:t>
      </w:r>
      <w:r w:rsidR="00904DD2" w:rsidRPr="00DA5119">
        <w:rPr>
          <w:b/>
          <w:sz w:val="20"/>
          <w:szCs w:val="20"/>
          <w:lang w:val="en-US"/>
        </w:rPr>
        <w:t>:</w:t>
      </w:r>
      <w:r w:rsidR="000E766D" w:rsidRPr="00DA5119">
        <w:rPr>
          <w:sz w:val="20"/>
          <w:szCs w:val="20"/>
          <w:lang w:val="en-US"/>
        </w:rPr>
        <w:t xml:space="preserve"> Projected HFC Emission reductions from the amended Montreal protocol. Left panel: emission reductions and resulting emission level (</w:t>
      </w:r>
      <w:r w:rsidR="00DE353E" w:rsidRPr="00DA5119">
        <w:rPr>
          <w:sz w:val="20"/>
          <w:szCs w:val="20"/>
          <w:lang w:val="en-US"/>
        </w:rPr>
        <w:t>in Mt CO2eq</w:t>
      </w:r>
      <w:r w:rsidR="000E766D" w:rsidRPr="00DA5119">
        <w:rPr>
          <w:sz w:val="20"/>
          <w:szCs w:val="20"/>
          <w:lang w:val="en-US"/>
        </w:rPr>
        <w:t>). Right panel: Emission levels in the no policy baseline case as well as the policy case (in Gt CO2eq). The red horizontal line indicates the baseline emission level in the protocol. This is higher than the current emission level because it accounts for HCFC substitution by HFCs.</w:t>
      </w:r>
    </w:p>
    <w:p w14:paraId="33DE571E" w14:textId="7954B82E" w:rsidR="000E766D" w:rsidRPr="00DA5119" w:rsidRDefault="005D4BE4" w:rsidP="00DA5119">
      <w:pPr>
        <w:ind w:left="-90"/>
        <w:rPr>
          <w:lang w:val="en-US"/>
        </w:rPr>
      </w:pPr>
      <w:r w:rsidRPr="00DA5119">
        <w:rPr>
          <w:noProof/>
          <w:lang w:val="nl-NL" w:eastAsia="nl-NL"/>
        </w:rPr>
        <w:drawing>
          <wp:inline distT="0" distB="0" distL="0" distR="0" wp14:anchorId="77A43CA8" wp14:editId="58232EC5">
            <wp:extent cx="5760720" cy="18112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811231"/>
                    </a:xfrm>
                    <a:prstGeom prst="rect">
                      <a:avLst/>
                    </a:prstGeom>
                    <a:noFill/>
                    <a:ln>
                      <a:noFill/>
                    </a:ln>
                  </pic:spPr>
                </pic:pic>
              </a:graphicData>
            </a:graphic>
          </wp:inline>
        </w:drawing>
      </w:r>
    </w:p>
    <w:p w14:paraId="44DB3423" w14:textId="51AE994F" w:rsidR="00BB3A63" w:rsidRPr="00DA5119" w:rsidRDefault="000E766D" w:rsidP="00DA5119">
      <w:pPr>
        <w:ind w:left="-90"/>
        <w:rPr>
          <w:lang w:val="en-US"/>
        </w:rPr>
      </w:pPr>
      <w:r w:rsidRPr="00DA5119">
        <w:rPr>
          <w:lang w:val="en-US"/>
        </w:rPr>
        <w:t>EPA (2013b). Summary: North American 2013 HFC Submission to the Montreal Protocol U.S. Environmental Protection Agency.</w:t>
      </w:r>
      <w:r w:rsidRPr="00DA5119">
        <w:rPr>
          <w:lang w:val="en-US"/>
        </w:rPr>
        <w:br w:type="page"/>
      </w:r>
    </w:p>
    <w:p w14:paraId="086C7A7B" w14:textId="079A87FC" w:rsidR="007A6E6E" w:rsidRPr="00DA5119" w:rsidRDefault="007F3A28" w:rsidP="00DA5119">
      <w:pPr>
        <w:pStyle w:val="Heading3"/>
        <w:ind w:left="-90"/>
        <w:rPr>
          <w:rFonts w:asciiTheme="minorHAnsi" w:hAnsiTheme="minorHAnsi"/>
          <w:lang w:val="en-US"/>
        </w:rPr>
      </w:pPr>
      <w:r w:rsidRPr="00DA5119">
        <w:rPr>
          <w:rFonts w:asciiTheme="minorHAnsi" w:hAnsiTheme="minorHAnsi"/>
          <w:lang w:val="en-US"/>
        </w:rPr>
        <w:lastRenderedPageBreak/>
        <w:t xml:space="preserve">S3 </w:t>
      </w:r>
      <w:r w:rsidR="007A6E6E" w:rsidRPr="00DA5119">
        <w:rPr>
          <w:rFonts w:asciiTheme="minorHAnsi" w:hAnsiTheme="minorHAnsi"/>
          <w:lang w:val="en-US"/>
        </w:rPr>
        <w:t>Region definitions in regional emission analysis</w:t>
      </w:r>
    </w:p>
    <w:p w14:paraId="7AFD51C1" w14:textId="34474A0B" w:rsidR="007A6E6E" w:rsidRPr="00DA5119" w:rsidRDefault="007A6E6E" w:rsidP="00DA5119">
      <w:pPr>
        <w:ind w:left="-90"/>
        <w:rPr>
          <w:lang w:val="en-US"/>
        </w:rPr>
      </w:pPr>
    </w:p>
    <w:p w14:paraId="5D6B66A8" w14:textId="247664F8" w:rsidR="007A6E6E" w:rsidRPr="00DA5119" w:rsidRDefault="007A6E6E" w:rsidP="00DA5119">
      <w:pPr>
        <w:pStyle w:val="NoSpacing"/>
        <w:ind w:left="-90"/>
        <w:rPr>
          <w:lang w:val="en-US"/>
        </w:rPr>
      </w:pPr>
      <w:r w:rsidRPr="00DA5119">
        <w:rPr>
          <w:lang w:val="en-US"/>
        </w:rPr>
        <w:t>From: EMF30 Scenario Database, 2014</w:t>
      </w:r>
    </w:p>
    <w:p w14:paraId="2DF04F7B" w14:textId="7D38BAD2" w:rsidR="007A6E6E" w:rsidRPr="00DA5119" w:rsidRDefault="007A6E6E" w:rsidP="00DA5119">
      <w:pPr>
        <w:pStyle w:val="NoSpacing"/>
        <w:ind w:left="-90"/>
        <w:rPr>
          <w:lang w:val="en-US"/>
        </w:rPr>
      </w:pPr>
      <w:r w:rsidRPr="00DA5119">
        <w:rPr>
          <w:lang w:val="en-US"/>
        </w:rPr>
        <w:t xml:space="preserve">Available at: </w:t>
      </w:r>
      <w:hyperlink r:id="rId15" w:history="1">
        <w:r w:rsidRPr="00DA5119">
          <w:rPr>
            <w:rStyle w:val="Hyperlink"/>
            <w:lang w:val="en-US"/>
          </w:rPr>
          <w:t>https://tntcat.iiasa.ac.at/EMF30DB</w:t>
        </w:r>
      </w:hyperlink>
    </w:p>
    <w:p w14:paraId="1AE46203" w14:textId="77777777" w:rsidR="007A6E6E" w:rsidRPr="00DA5119" w:rsidRDefault="007A6E6E" w:rsidP="00DA5119">
      <w:pPr>
        <w:pStyle w:val="NoSpacing"/>
        <w:ind w:left="-90"/>
        <w:rPr>
          <w:lang w:val="en-US"/>
        </w:rPr>
      </w:pPr>
    </w:p>
    <w:p w14:paraId="4D7B3CC4" w14:textId="69697A9C" w:rsidR="007A6E6E" w:rsidRPr="00DA5119" w:rsidRDefault="00CF3C0D" w:rsidP="00DA5119">
      <w:pPr>
        <w:ind w:left="-90"/>
        <w:rPr>
          <w:lang w:val="en-US"/>
        </w:rPr>
      </w:pPr>
      <w:r w:rsidRPr="00DA5119">
        <w:rPr>
          <w:lang w:val="en-US"/>
        </w:rPr>
        <w:t>F</w:t>
      </w:r>
      <w:r w:rsidR="007A6E6E" w:rsidRPr="00DA5119">
        <w:rPr>
          <w:lang w:val="en-US"/>
        </w:rPr>
        <w:t xml:space="preserve">ive </w:t>
      </w:r>
      <w:r w:rsidRPr="00DA5119">
        <w:rPr>
          <w:lang w:val="en-US"/>
        </w:rPr>
        <w:t xml:space="preserve">global </w:t>
      </w:r>
      <w:r w:rsidR="007A6E6E" w:rsidRPr="00DA5119">
        <w:rPr>
          <w:lang w:val="en-US"/>
        </w:rPr>
        <w:t xml:space="preserve">macro regions have been used in this study’s scenario analysis. These regions are defined as follows: </w:t>
      </w:r>
    </w:p>
    <w:p w14:paraId="0010298E" w14:textId="77777777" w:rsidR="007A6E6E" w:rsidRPr="00DA5119" w:rsidRDefault="007A6E6E" w:rsidP="00DA5119">
      <w:pPr>
        <w:ind w:left="-90"/>
        <w:rPr>
          <w:b/>
          <w:lang w:val="en-US"/>
        </w:rPr>
      </w:pPr>
      <w:r w:rsidRPr="00DA5119">
        <w:rPr>
          <w:b/>
          <w:lang w:val="en-US"/>
        </w:rPr>
        <w:t>OECD90 = Includes the OECD 90 countries.</w:t>
      </w:r>
    </w:p>
    <w:p w14:paraId="0716EDB4" w14:textId="0E919FC5" w:rsidR="007A6E6E" w:rsidRPr="00DA5119" w:rsidRDefault="007A6E6E" w:rsidP="00DA5119">
      <w:pPr>
        <w:ind w:left="-90"/>
        <w:rPr>
          <w:lang w:val="en-US"/>
        </w:rPr>
      </w:pPr>
      <w:r w:rsidRPr="00DA5119">
        <w:rPr>
          <w:lang w:val="en-US"/>
        </w:rPr>
        <w:t xml:space="preserve">Australia, Austria, Belgium, Canada, Denmark, Fiji, Finland, France, French Polynesia, Germany, Greece, Guam, Iceland, Ireland, Italy, Japan, Luxembourg, Netherlands, New Caledonia, New Zealand, Norway, Portugal, Samoa, Solomon Islands, Spain, Sweden, Switzerland, Turkey, United Kingdom, United States of America, Vanuatu </w:t>
      </w:r>
    </w:p>
    <w:p w14:paraId="2C359F32" w14:textId="6C0AA025" w:rsidR="007A6E6E" w:rsidRPr="00DA5119" w:rsidRDefault="007A6E6E" w:rsidP="00DA5119">
      <w:pPr>
        <w:ind w:left="-90"/>
        <w:rPr>
          <w:b/>
          <w:lang w:val="en-US"/>
        </w:rPr>
      </w:pPr>
      <w:r w:rsidRPr="00DA5119">
        <w:rPr>
          <w:b/>
          <w:lang w:val="en-US"/>
        </w:rPr>
        <w:t>REF = C</w:t>
      </w:r>
      <w:r w:rsidR="00CF3C0D" w:rsidRPr="00DA5119">
        <w:rPr>
          <w:b/>
          <w:lang w:val="en-US"/>
        </w:rPr>
        <w:t>ountries from the Reforming Econom</w:t>
      </w:r>
      <w:r w:rsidRPr="00DA5119">
        <w:rPr>
          <w:b/>
          <w:lang w:val="en-US"/>
        </w:rPr>
        <w:t>ies of Eastern Europe and the Former Soviet Union.</w:t>
      </w:r>
    </w:p>
    <w:p w14:paraId="20290140" w14:textId="03AB0E07" w:rsidR="007A6E6E" w:rsidRPr="00DA5119" w:rsidRDefault="007A6E6E" w:rsidP="00DA5119">
      <w:pPr>
        <w:ind w:left="-90"/>
        <w:rPr>
          <w:lang w:val="en-US"/>
        </w:rPr>
      </w:pPr>
      <w:r w:rsidRPr="00DA5119">
        <w:rPr>
          <w:lang w:val="en-US"/>
        </w:rPr>
        <w:t xml:space="preserve">Albania, Armenia, Azerbaijan, Belarus, Bosnia and Herzegovina, Bulgaria, Croatia, Cyprus, Czech Republic, Estonia, Georgia, Hungary, Kazakhstan, Kyrgyzstan, Latvia, Lithuania, Malta, Poland, Republic of Moldova, Romania, Russian Federation, Slovakia, Slovenia, Tajikistan, TFYR Macedonia, Turkmenistan, Ukraine, Uzbekistan, Yugoslavia </w:t>
      </w:r>
    </w:p>
    <w:p w14:paraId="06BC15C8" w14:textId="77777777" w:rsidR="007A6E6E" w:rsidRPr="00DA5119" w:rsidRDefault="007A6E6E" w:rsidP="00DA5119">
      <w:pPr>
        <w:ind w:left="-90"/>
        <w:rPr>
          <w:b/>
          <w:lang w:val="en-US"/>
        </w:rPr>
      </w:pPr>
      <w:r w:rsidRPr="00DA5119">
        <w:rPr>
          <w:b/>
          <w:lang w:val="en-US"/>
        </w:rPr>
        <w:t>ASIA = The region includes most Asian countries with the exception of the Middle East, Japan and Former Soviet Union states.</w:t>
      </w:r>
    </w:p>
    <w:p w14:paraId="789C3E71" w14:textId="5445E4A1" w:rsidR="007A6E6E" w:rsidRPr="00DA5119" w:rsidRDefault="007A6E6E" w:rsidP="00DA5119">
      <w:pPr>
        <w:ind w:left="-90"/>
        <w:rPr>
          <w:lang w:val="en-US"/>
        </w:rPr>
      </w:pPr>
      <w:r w:rsidRPr="00DA5119">
        <w:rPr>
          <w:lang w:val="en-US"/>
        </w:rPr>
        <w:t xml:space="preserve">Afghanistan, Bangladesh, Bhutan, Brunei Darussalam, Cambodia, China, China Hong Kong SAR, China Macao SAR, Democratic People's Republic of Korea, East Timor, India, Indonesia, Lao People's Democratic Republic, Malaysia, Maldives, Mongolia, Myanmar, Nepal, Pakistan, Papua New Guinea, Philippines, Republic of Korea, Singapore, Sri Lanka, Taiwan, Thailand, Viet Nam </w:t>
      </w:r>
    </w:p>
    <w:p w14:paraId="35F42426" w14:textId="77777777" w:rsidR="007A6E6E" w:rsidRPr="00DA5119" w:rsidRDefault="007A6E6E" w:rsidP="00DA5119">
      <w:pPr>
        <w:ind w:left="-90"/>
        <w:rPr>
          <w:b/>
          <w:lang w:val="en-US"/>
        </w:rPr>
      </w:pPr>
      <w:r w:rsidRPr="00DA5119">
        <w:rPr>
          <w:b/>
          <w:lang w:val="en-US"/>
        </w:rPr>
        <w:t>MAF = This region includes the countries of the Middle East and Africa.</w:t>
      </w:r>
    </w:p>
    <w:p w14:paraId="721BA543" w14:textId="1860D646" w:rsidR="007A6E6E" w:rsidRPr="00DA5119" w:rsidRDefault="007A6E6E" w:rsidP="00DA5119">
      <w:pPr>
        <w:ind w:left="-90"/>
        <w:rPr>
          <w:lang w:val="en-US"/>
        </w:rPr>
      </w:pPr>
      <w:r w:rsidRPr="00DA5119">
        <w:rPr>
          <w:lang w:val="en-US"/>
        </w:rPr>
        <w:t xml:space="preserve">Algeria, Angola, Bahrain, Benin, Botswana, Burkina Faso, Burundi, Cameroon, Cape Verde, Central African Republic, Chad, Comoros, Congo, Cote d'Ivoire, Democratic Republic of the Congo, Djibouti, Egypt, Equatorial Guinea, Eritrea, Ethiopia, Gabon, Gambia, Ghana, Guinea, Guinea-Bissau, Iran (Islamic Republic of), Iraq, Israel, Jordan, Kenya, Kuwait, Lebanon, Lesotho, Liberia, Libyan Arab Jamahiriya, Madagascar, Malawi, Mali, Mauritania, Mauritius, Morocco, Mozambique, Namibia, Niger, Nigeria, Oman, Qatar, Reunion, Rwanda, Saudi Arabia, Senegal, Sierra Leone, Somalia, South Africa, Sudan, Swaziland, Syrian Arab Republic, Togo, Tunisia, Uganda, United Arab Emirates, United Republic of Tanzania, Western Sahara, Yemen, Zambia, Zimbabwe </w:t>
      </w:r>
    </w:p>
    <w:p w14:paraId="761DBC4C" w14:textId="77777777" w:rsidR="007A6E6E" w:rsidRPr="00DA5119" w:rsidRDefault="007A6E6E" w:rsidP="00DA5119">
      <w:pPr>
        <w:ind w:left="-90"/>
        <w:rPr>
          <w:b/>
          <w:lang w:val="en-US"/>
        </w:rPr>
      </w:pPr>
      <w:r w:rsidRPr="00DA5119">
        <w:rPr>
          <w:b/>
          <w:lang w:val="en-US"/>
        </w:rPr>
        <w:t>LAM = This region includes the countries of Latin America and the Caribbean.</w:t>
      </w:r>
    </w:p>
    <w:p w14:paraId="6B4D2637" w14:textId="77777777" w:rsidR="00CF3C0D" w:rsidRPr="00DA5119" w:rsidRDefault="007A6E6E" w:rsidP="00DA5119">
      <w:pPr>
        <w:ind w:left="-90"/>
        <w:rPr>
          <w:lang w:val="en-US"/>
        </w:rPr>
      </w:pPr>
      <w:r w:rsidRPr="00DA5119">
        <w:rPr>
          <w:lang w:val="en-US"/>
        </w:rPr>
        <w:t xml:space="preserve">Argentina, Bahamas, Barbados, Belize, Bolivia, Brazil, Chile, Colombia, Costa Rica, Cuba, Dominican Republic, Ecuador, El Salvador, Guadeloupe, Guatemala, Guyana, Haiti, Honduras, Jamaica, Martinique, Mexico, Netherlands Antilles, Nicaragua, Panama, Paraguay, Peru, Puerto Rico, Suriname, Trinidad and Tobago, Uruguay, Venezuela </w:t>
      </w:r>
    </w:p>
    <w:p w14:paraId="22AC91EE" w14:textId="77777777" w:rsidR="00CF3C0D" w:rsidRPr="00DA5119" w:rsidRDefault="00CF3C0D" w:rsidP="00DA5119">
      <w:pPr>
        <w:ind w:left="-90"/>
        <w:rPr>
          <w:lang w:val="en-US"/>
        </w:rPr>
      </w:pPr>
      <w:r w:rsidRPr="00DA5119">
        <w:rPr>
          <w:lang w:val="en-US"/>
        </w:rPr>
        <w:br w:type="page"/>
      </w:r>
    </w:p>
    <w:p w14:paraId="2EE022B3" w14:textId="73013851" w:rsidR="00E0793F" w:rsidRPr="00DA5119" w:rsidRDefault="007F3A28" w:rsidP="00DA5119">
      <w:pPr>
        <w:pStyle w:val="Heading3"/>
        <w:ind w:left="-90"/>
        <w:rPr>
          <w:rFonts w:asciiTheme="minorHAnsi" w:hAnsiTheme="minorHAnsi"/>
          <w:lang w:val="en-US"/>
        </w:rPr>
      </w:pPr>
      <w:r w:rsidRPr="00DA5119">
        <w:rPr>
          <w:rFonts w:asciiTheme="minorHAnsi" w:hAnsiTheme="minorHAnsi"/>
          <w:lang w:val="en-US"/>
        </w:rPr>
        <w:lastRenderedPageBreak/>
        <w:t xml:space="preserve">S4 </w:t>
      </w:r>
      <w:r w:rsidR="00E0793F" w:rsidRPr="00DA5119">
        <w:rPr>
          <w:rFonts w:asciiTheme="minorHAnsi" w:hAnsiTheme="minorHAnsi"/>
          <w:lang w:val="en-US"/>
        </w:rPr>
        <w:t>Model specific CH4</w:t>
      </w:r>
      <w:r w:rsidR="006E4529" w:rsidRPr="00DA5119">
        <w:rPr>
          <w:rFonts w:asciiTheme="minorHAnsi" w:hAnsiTheme="minorHAnsi"/>
          <w:lang w:val="en-US"/>
        </w:rPr>
        <w:t xml:space="preserve"> and BC</w:t>
      </w:r>
      <w:r w:rsidR="00E0793F" w:rsidRPr="00DA5119">
        <w:rPr>
          <w:rFonts w:asciiTheme="minorHAnsi" w:hAnsiTheme="minorHAnsi"/>
          <w:lang w:val="en-US"/>
        </w:rPr>
        <w:t xml:space="preserve"> emission projections</w:t>
      </w:r>
    </w:p>
    <w:p w14:paraId="3053E646" w14:textId="3FEE6B62" w:rsidR="00E0793F" w:rsidRPr="00DA5119" w:rsidRDefault="00E0793F" w:rsidP="00DA5119">
      <w:pPr>
        <w:ind w:left="-90"/>
        <w:rPr>
          <w:lang w:val="en-US"/>
        </w:rPr>
      </w:pPr>
    </w:p>
    <w:p w14:paraId="4AC64938" w14:textId="46A72AD6" w:rsidR="00AD49EB" w:rsidRPr="00DA5119" w:rsidRDefault="007F3A28" w:rsidP="00DA5119">
      <w:pPr>
        <w:ind w:left="-90"/>
        <w:rPr>
          <w:b/>
          <w:sz w:val="20"/>
          <w:szCs w:val="20"/>
          <w:lang w:val="en-US"/>
        </w:rPr>
      </w:pPr>
      <w:r w:rsidRPr="00DA5119">
        <w:rPr>
          <w:b/>
          <w:sz w:val="20"/>
          <w:szCs w:val="20"/>
          <w:lang w:val="en-US"/>
        </w:rPr>
        <w:t>Figure S4.1</w:t>
      </w:r>
      <w:r w:rsidR="00AD49EB" w:rsidRPr="00DA5119">
        <w:rPr>
          <w:b/>
          <w:sz w:val="20"/>
          <w:szCs w:val="20"/>
          <w:lang w:val="en-US"/>
        </w:rPr>
        <w:t xml:space="preserve">:  </w:t>
      </w:r>
      <w:r w:rsidR="00AD49EB" w:rsidRPr="00DA5119">
        <w:rPr>
          <w:sz w:val="20"/>
          <w:szCs w:val="20"/>
          <w:lang w:val="en-US"/>
        </w:rPr>
        <w:t>CH</w:t>
      </w:r>
      <w:r w:rsidR="00AD49EB" w:rsidRPr="00DA5119">
        <w:rPr>
          <w:sz w:val="20"/>
          <w:szCs w:val="20"/>
          <w:vertAlign w:val="subscript"/>
          <w:lang w:val="en-US"/>
        </w:rPr>
        <w:t>4</w:t>
      </w:r>
      <w:r w:rsidR="00AD49EB" w:rsidRPr="00DA5119">
        <w:rPr>
          <w:sz w:val="20"/>
          <w:szCs w:val="20"/>
          <w:lang w:val="en-US"/>
        </w:rPr>
        <w:t xml:space="preserve"> emission pathways</w:t>
      </w:r>
    </w:p>
    <w:p w14:paraId="33F3B53F" w14:textId="0EFB1382" w:rsidR="00AD49EB" w:rsidRPr="00DA5119" w:rsidRDefault="00862498" w:rsidP="00DA5119">
      <w:pPr>
        <w:ind w:left="-90"/>
        <w:rPr>
          <w:lang w:val="en-US"/>
        </w:rPr>
      </w:pPr>
      <w:r w:rsidRPr="00DA5119">
        <w:rPr>
          <w:noProof/>
          <w:lang w:val="nl-NL" w:eastAsia="nl-NL"/>
        </w:rPr>
        <w:drawing>
          <wp:inline distT="0" distB="0" distL="0" distR="0" wp14:anchorId="02CB8834" wp14:editId="4DB3AD38">
            <wp:extent cx="5760720" cy="5760720"/>
            <wp:effectExtent l="0" t="0" r="0" b="0"/>
            <wp:docPr id="32" name="Picture 32" descr="Y:\ontwapps\Timer\Users\Mathijs\Projects\EMF30\EMF30 - info\INDC paper\plots\plots_new_figures_NDC\Figure 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ntwapps\Timer\Users\Mathijs\Projects\EMF30\EMF30 - info\INDC paper\plots\plots_new_figures_NDC\Figure S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277D0BCD" w14:textId="77777777" w:rsidR="00AD49EB" w:rsidRPr="00DA5119" w:rsidRDefault="00AD49EB" w:rsidP="00DA5119">
      <w:pPr>
        <w:ind w:left="-90"/>
        <w:rPr>
          <w:lang w:val="en-US"/>
        </w:rPr>
      </w:pPr>
      <w:r w:rsidRPr="00DA5119">
        <w:rPr>
          <w:lang w:val="en-US"/>
        </w:rPr>
        <w:br w:type="page"/>
      </w:r>
    </w:p>
    <w:p w14:paraId="033A901E" w14:textId="2B0C64DC" w:rsidR="00AD49EB" w:rsidRPr="00DA5119" w:rsidRDefault="007F3A28" w:rsidP="00DA5119">
      <w:pPr>
        <w:ind w:left="-90"/>
        <w:rPr>
          <w:sz w:val="20"/>
          <w:szCs w:val="20"/>
          <w:lang w:val="en-US"/>
        </w:rPr>
      </w:pPr>
      <w:r w:rsidRPr="00DA5119">
        <w:rPr>
          <w:b/>
          <w:sz w:val="20"/>
          <w:szCs w:val="20"/>
          <w:lang w:val="en-US"/>
        </w:rPr>
        <w:lastRenderedPageBreak/>
        <w:t>Figure S4.2</w:t>
      </w:r>
      <w:r w:rsidR="00AD49EB" w:rsidRPr="00DA5119">
        <w:rPr>
          <w:b/>
          <w:sz w:val="20"/>
          <w:szCs w:val="20"/>
          <w:lang w:val="en-US"/>
        </w:rPr>
        <w:t xml:space="preserve">: </w:t>
      </w:r>
      <w:r w:rsidR="00AD49EB" w:rsidRPr="00DA5119">
        <w:rPr>
          <w:sz w:val="20"/>
          <w:szCs w:val="20"/>
          <w:lang w:val="en-US"/>
        </w:rPr>
        <w:t>2030 sectoral emissions CH</w:t>
      </w:r>
      <w:r w:rsidR="00AD49EB" w:rsidRPr="00DA5119">
        <w:rPr>
          <w:sz w:val="20"/>
          <w:szCs w:val="20"/>
          <w:vertAlign w:val="subscript"/>
          <w:lang w:val="en-US"/>
        </w:rPr>
        <w:t>4</w:t>
      </w:r>
      <w:r w:rsidR="00AD49EB" w:rsidRPr="00DA5119">
        <w:rPr>
          <w:b/>
          <w:sz w:val="20"/>
          <w:szCs w:val="20"/>
          <w:lang w:val="en-US"/>
        </w:rPr>
        <w:t xml:space="preserve"> </w:t>
      </w:r>
    </w:p>
    <w:p w14:paraId="78B77DCD" w14:textId="218F924D" w:rsidR="00AD49EB" w:rsidRPr="00DA5119" w:rsidRDefault="00862498" w:rsidP="00DA5119">
      <w:pPr>
        <w:ind w:left="-90"/>
        <w:rPr>
          <w:lang w:val="en-US"/>
        </w:rPr>
      </w:pPr>
      <w:r w:rsidRPr="00DA5119">
        <w:rPr>
          <w:noProof/>
          <w:lang w:val="nl-NL" w:eastAsia="nl-NL"/>
        </w:rPr>
        <w:drawing>
          <wp:inline distT="0" distB="0" distL="0" distR="0" wp14:anchorId="1BDE2C24" wp14:editId="3C5D1666">
            <wp:extent cx="5760720" cy="5760720"/>
            <wp:effectExtent l="0" t="0" r="0" b="0"/>
            <wp:docPr id="33" name="Picture 33" descr="Y:\ontwapps\Timer\Users\Mathijs\Projects\EMF30\EMF30 - info\INDC paper\plots\plots_new_figures_NDC\Figure 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ntwapps\Timer\Users\Mathijs\Projects\EMF30\EMF30 - info\INDC paper\plots\plots_new_figures_NDC\Figure S4.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32621670" w14:textId="77777777" w:rsidR="00AD49EB" w:rsidRPr="00DA5119" w:rsidRDefault="00AD49EB" w:rsidP="00DA5119">
      <w:pPr>
        <w:ind w:left="-90"/>
        <w:rPr>
          <w:lang w:val="en-US"/>
        </w:rPr>
      </w:pPr>
    </w:p>
    <w:p w14:paraId="7803A5EB" w14:textId="77777777" w:rsidR="00AD49EB" w:rsidRPr="00DA5119" w:rsidRDefault="00AD49EB" w:rsidP="00DA5119">
      <w:pPr>
        <w:ind w:left="-90"/>
        <w:rPr>
          <w:lang w:val="en-US"/>
        </w:rPr>
      </w:pPr>
    </w:p>
    <w:p w14:paraId="3F012367" w14:textId="77777777" w:rsidR="00AD49EB" w:rsidRPr="00DA5119" w:rsidRDefault="00AD49EB" w:rsidP="00DA5119">
      <w:pPr>
        <w:tabs>
          <w:tab w:val="left" w:pos="923"/>
        </w:tabs>
        <w:ind w:left="-90"/>
        <w:rPr>
          <w:lang w:val="en-US"/>
        </w:rPr>
      </w:pPr>
      <w:r w:rsidRPr="00DA5119">
        <w:rPr>
          <w:lang w:val="en-US"/>
        </w:rPr>
        <w:tab/>
      </w:r>
    </w:p>
    <w:p w14:paraId="29B80A26" w14:textId="77777777" w:rsidR="00AD49EB" w:rsidRPr="00DA5119" w:rsidRDefault="00AD49EB" w:rsidP="00DA5119">
      <w:pPr>
        <w:ind w:left="-90"/>
        <w:rPr>
          <w:lang w:val="en-US"/>
        </w:rPr>
      </w:pPr>
      <w:r w:rsidRPr="00DA5119">
        <w:rPr>
          <w:lang w:val="en-US"/>
        </w:rPr>
        <w:br w:type="page"/>
      </w:r>
    </w:p>
    <w:p w14:paraId="146A2495" w14:textId="1CC7B0F5" w:rsidR="00AD49EB" w:rsidRPr="00DA5119" w:rsidRDefault="00AD49EB" w:rsidP="00DA5119">
      <w:pPr>
        <w:ind w:left="-90"/>
        <w:rPr>
          <w:b/>
          <w:sz w:val="20"/>
          <w:szCs w:val="20"/>
          <w:lang w:val="en-US"/>
        </w:rPr>
      </w:pPr>
      <w:r w:rsidRPr="00DA5119">
        <w:rPr>
          <w:b/>
          <w:sz w:val="20"/>
          <w:szCs w:val="20"/>
          <w:lang w:val="en-US"/>
        </w:rPr>
        <w:lastRenderedPageBreak/>
        <w:t>Figure S4</w:t>
      </w:r>
      <w:r w:rsidR="007F3A28" w:rsidRPr="00DA5119">
        <w:rPr>
          <w:b/>
          <w:sz w:val="20"/>
          <w:szCs w:val="20"/>
          <w:lang w:val="en-US"/>
        </w:rPr>
        <w:t>.3</w:t>
      </w:r>
      <w:r w:rsidRPr="00DA5119">
        <w:rPr>
          <w:b/>
          <w:sz w:val="20"/>
          <w:szCs w:val="20"/>
          <w:lang w:val="en-US"/>
        </w:rPr>
        <w:t xml:space="preserve">: </w:t>
      </w:r>
      <w:r w:rsidRPr="00DA5119">
        <w:rPr>
          <w:sz w:val="20"/>
          <w:szCs w:val="20"/>
          <w:lang w:val="en-US"/>
        </w:rPr>
        <w:t>2030 sectoral emissions CH</w:t>
      </w:r>
      <w:r w:rsidRPr="00DA5119">
        <w:rPr>
          <w:sz w:val="20"/>
          <w:szCs w:val="20"/>
          <w:vertAlign w:val="subscript"/>
          <w:lang w:val="en-US"/>
        </w:rPr>
        <w:t>4</w:t>
      </w:r>
      <w:r w:rsidRPr="00DA5119">
        <w:rPr>
          <w:b/>
          <w:sz w:val="20"/>
          <w:szCs w:val="20"/>
          <w:lang w:val="en-US"/>
        </w:rPr>
        <w:t xml:space="preserve"> </w:t>
      </w:r>
    </w:p>
    <w:p w14:paraId="33DC766E" w14:textId="4D5866A7" w:rsidR="00862498" w:rsidRPr="00DA5119" w:rsidRDefault="00862498" w:rsidP="00DA5119">
      <w:pPr>
        <w:ind w:left="-90"/>
        <w:rPr>
          <w:b/>
          <w:sz w:val="20"/>
          <w:szCs w:val="20"/>
          <w:lang w:val="en-US"/>
        </w:rPr>
      </w:pPr>
      <w:r w:rsidRPr="00DA5119">
        <w:rPr>
          <w:b/>
          <w:noProof/>
          <w:sz w:val="20"/>
          <w:szCs w:val="20"/>
          <w:lang w:val="nl-NL" w:eastAsia="nl-NL"/>
        </w:rPr>
        <w:drawing>
          <wp:inline distT="0" distB="0" distL="0" distR="0" wp14:anchorId="0FFDC01C" wp14:editId="3D996EBF">
            <wp:extent cx="6268227" cy="4476750"/>
            <wp:effectExtent l="0" t="0" r="0" b="0"/>
            <wp:docPr id="35" name="Picture 35" descr="Y:\ontwapps\Timer\Users\Mathijs\Projects\EMF30\EMF30 - info\INDC paper\plots\plots_new_figures_NDC\Figure 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ntwapps\Timer\Users\Mathijs\Projects\EMF30\EMF30 - info\INDC paper\plots\plots_new_figures_NDC\Figure S4.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9669" cy="4477780"/>
                    </a:xfrm>
                    <a:prstGeom prst="rect">
                      <a:avLst/>
                    </a:prstGeom>
                    <a:noFill/>
                    <a:ln>
                      <a:noFill/>
                    </a:ln>
                  </pic:spPr>
                </pic:pic>
              </a:graphicData>
            </a:graphic>
          </wp:inline>
        </w:drawing>
      </w:r>
    </w:p>
    <w:p w14:paraId="470A1443" w14:textId="4219D915" w:rsidR="00AD49EB" w:rsidRPr="00DA5119" w:rsidRDefault="00AD49EB" w:rsidP="00DA5119">
      <w:pPr>
        <w:ind w:left="-90"/>
        <w:rPr>
          <w:lang w:val="en-US"/>
        </w:rPr>
      </w:pPr>
    </w:p>
    <w:p w14:paraId="68B827A7" w14:textId="77777777" w:rsidR="00AD49EB" w:rsidRPr="00DA5119" w:rsidRDefault="00AD49EB" w:rsidP="00DA5119">
      <w:pPr>
        <w:ind w:left="-90"/>
        <w:rPr>
          <w:b/>
          <w:lang w:val="en-US"/>
        </w:rPr>
      </w:pPr>
      <w:r w:rsidRPr="00DA5119">
        <w:rPr>
          <w:b/>
          <w:lang w:val="en-US"/>
        </w:rPr>
        <w:br w:type="page"/>
      </w:r>
    </w:p>
    <w:p w14:paraId="7BD61F49" w14:textId="6CA0A202" w:rsidR="00AD49EB" w:rsidRPr="00DA5119" w:rsidRDefault="007F3A28" w:rsidP="00DA5119">
      <w:pPr>
        <w:ind w:left="-90"/>
        <w:rPr>
          <w:lang w:val="en-US"/>
        </w:rPr>
      </w:pPr>
      <w:r w:rsidRPr="00DA5119">
        <w:rPr>
          <w:b/>
          <w:sz w:val="20"/>
          <w:szCs w:val="20"/>
          <w:lang w:val="en-US"/>
        </w:rPr>
        <w:lastRenderedPageBreak/>
        <w:t>Figure S4.4</w:t>
      </w:r>
      <w:r w:rsidR="00AD49EB" w:rsidRPr="00DA5119">
        <w:rPr>
          <w:b/>
          <w:sz w:val="20"/>
          <w:szCs w:val="20"/>
          <w:lang w:val="en-US"/>
        </w:rPr>
        <w:t xml:space="preserve">: </w:t>
      </w:r>
      <w:r w:rsidR="00AD49EB" w:rsidRPr="00DA5119">
        <w:rPr>
          <w:sz w:val="20"/>
          <w:szCs w:val="20"/>
          <w:lang w:val="en-US"/>
        </w:rPr>
        <w:t>BC Emission pathways</w:t>
      </w:r>
      <w:r w:rsidR="00AD49EB" w:rsidRPr="00DA5119">
        <w:rPr>
          <w:lang w:val="en-US"/>
        </w:rPr>
        <w:t xml:space="preserve"> </w:t>
      </w:r>
    </w:p>
    <w:p w14:paraId="607B29C1" w14:textId="6CB2F13B" w:rsidR="00AD49EB" w:rsidRPr="00DA5119" w:rsidRDefault="00862498" w:rsidP="00DA5119">
      <w:pPr>
        <w:ind w:left="-90"/>
        <w:rPr>
          <w:lang w:val="en-US"/>
        </w:rPr>
      </w:pPr>
      <w:r w:rsidRPr="00DA5119">
        <w:rPr>
          <w:noProof/>
          <w:lang w:val="nl-NL" w:eastAsia="nl-NL"/>
        </w:rPr>
        <w:drawing>
          <wp:inline distT="0" distB="0" distL="0" distR="0" wp14:anchorId="28B8DA2A" wp14:editId="5AB6C4B4">
            <wp:extent cx="5760720" cy="5760720"/>
            <wp:effectExtent l="0" t="0" r="0" b="0"/>
            <wp:docPr id="36" name="Picture 36" descr="Y:\ontwapps\Timer\Users\Mathijs\Projects\EMF30\EMF30 - info\INDC paper\plots\plots_new_figures_NDC\Figure 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ntwapps\Timer\Users\Mathijs\Projects\EMF30\EMF30 - info\INDC paper\plots\plots_new_figures_NDC\Figure S4.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00AD49EB" w:rsidRPr="00DA5119">
        <w:rPr>
          <w:lang w:val="en-US"/>
        </w:rPr>
        <w:br w:type="page"/>
      </w:r>
    </w:p>
    <w:p w14:paraId="6FFDC33A" w14:textId="43DBCE17" w:rsidR="00AD49EB" w:rsidRPr="00DA5119" w:rsidRDefault="007F3A28" w:rsidP="00DA5119">
      <w:pPr>
        <w:pStyle w:val="NoSpacing"/>
        <w:ind w:left="-90"/>
        <w:rPr>
          <w:b/>
          <w:sz w:val="20"/>
          <w:szCs w:val="20"/>
          <w:lang w:val="en-US"/>
        </w:rPr>
      </w:pPr>
      <w:r w:rsidRPr="00DA5119">
        <w:rPr>
          <w:b/>
          <w:sz w:val="20"/>
          <w:szCs w:val="20"/>
          <w:lang w:val="en-US"/>
        </w:rPr>
        <w:lastRenderedPageBreak/>
        <w:t>Figure S4.5</w:t>
      </w:r>
      <w:r w:rsidR="00AD49EB" w:rsidRPr="00DA5119">
        <w:rPr>
          <w:b/>
          <w:sz w:val="20"/>
          <w:szCs w:val="20"/>
          <w:lang w:val="en-US"/>
        </w:rPr>
        <w:t xml:space="preserve">: </w:t>
      </w:r>
      <w:r w:rsidR="00AD49EB" w:rsidRPr="00DA5119">
        <w:rPr>
          <w:sz w:val="20"/>
          <w:szCs w:val="20"/>
          <w:lang w:val="en-US"/>
        </w:rPr>
        <w:t>2030 sectoral emissions BC</w:t>
      </w:r>
    </w:p>
    <w:p w14:paraId="75377A68" w14:textId="0AC583A9" w:rsidR="00AD49EB" w:rsidRPr="00DA5119" w:rsidRDefault="00862498" w:rsidP="00DA5119">
      <w:pPr>
        <w:pStyle w:val="NoSpacing"/>
        <w:ind w:left="-90"/>
        <w:rPr>
          <w:lang w:val="en-US"/>
        </w:rPr>
      </w:pPr>
      <w:r w:rsidRPr="00DA5119">
        <w:rPr>
          <w:noProof/>
          <w:lang w:val="nl-NL" w:eastAsia="nl-NL"/>
        </w:rPr>
        <w:drawing>
          <wp:inline distT="0" distB="0" distL="0" distR="0" wp14:anchorId="41A42DCE" wp14:editId="7B05435B">
            <wp:extent cx="5760720" cy="5760720"/>
            <wp:effectExtent l="0" t="0" r="0" b="0"/>
            <wp:docPr id="37" name="Picture 37" descr="Y:\ontwapps\Timer\Users\Mathijs\Projects\EMF30\EMF30 - info\INDC paper\plots\plots_new_figures_NDC\Figure 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ntwapps\Timer\Users\Mathijs\Projects\EMF30\EMF30 - info\INDC paper\plots\plots_new_figures_NDC\Figure S4.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C5FEF2D" w14:textId="409B5F9E" w:rsidR="00AD49EB" w:rsidRPr="00DA5119" w:rsidRDefault="00AD49EB" w:rsidP="00DA5119">
      <w:pPr>
        <w:pStyle w:val="NoSpacing"/>
        <w:ind w:left="-90"/>
        <w:rPr>
          <w:lang w:val="en-US"/>
        </w:rPr>
      </w:pPr>
    </w:p>
    <w:p w14:paraId="376773E1" w14:textId="77777777" w:rsidR="00AD49EB" w:rsidRPr="00DA5119" w:rsidRDefault="00AD49EB" w:rsidP="00DA5119">
      <w:pPr>
        <w:ind w:left="-90"/>
        <w:rPr>
          <w:lang w:val="en-US"/>
        </w:rPr>
      </w:pPr>
      <w:r w:rsidRPr="00DA5119">
        <w:rPr>
          <w:lang w:val="en-US"/>
        </w:rPr>
        <w:br w:type="page"/>
      </w:r>
    </w:p>
    <w:p w14:paraId="10E500C1" w14:textId="244A7607" w:rsidR="00AD49EB" w:rsidRPr="00DA5119" w:rsidRDefault="00AD49EB" w:rsidP="00DA5119">
      <w:pPr>
        <w:ind w:left="-90"/>
        <w:rPr>
          <w:lang w:val="en-US"/>
        </w:rPr>
      </w:pPr>
      <w:r w:rsidRPr="00DA5119">
        <w:rPr>
          <w:sz w:val="20"/>
          <w:szCs w:val="20"/>
          <w:lang w:val="en-US"/>
        </w:rPr>
        <w:lastRenderedPageBreak/>
        <w:t xml:space="preserve"> </w:t>
      </w:r>
      <w:r w:rsidR="007F3A28" w:rsidRPr="00DA5119">
        <w:rPr>
          <w:b/>
          <w:sz w:val="20"/>
          <w:szCs w:val="20"/>
          <w:lang w:val="en-US"/>
        </w:rPr>
        <w:t>Figure S4.6</w:t>
      </w:r>
      <w:r w:rsidRPr="00DA5119">
        <w:rPr>
          <w:b/>
          <w:sz w:val="20"/>
          <w:szCs w:val="20"/>
          <w:lang w:val="en-US"/>
        </w:rPr>
        <w:t xml:space="preserve">: </w:t>
      </w:r>
      <w:r w:rsidRPr="00DA5119">
        <w:rPr>
          <w:sz w:val="20"/>
          <w:szCs w:val="20"/>
          <w:lang w:val="en-US"/>
        </w:rPr>
        <w:t>2030 regional emissions BC</w:t>
      </w:r>
      <w:r w:rsidRPr="00DA5119">
        <w:rPr>
          <w:noProof/>
          <w:sz w:val="20"/>
          <w:szCs w:val="20"/>
          <w:lang w:val="en-US"/>
        </w:rPr>
        <w:t xml:space="preserve"> </w:t>
      </w:r>
      <w:r w:rsidRPr="00DA5119">
        <w:rPr>
          <w:lang w:val="en-US"/>
        </w:rPr>
        <w:t xml:space="preserve"> </w:t>
      </w:r>
      <w:r w:rsidR="00862498" w:rsidRPr="00DA5119">
        <w:rPr>
          <w:noProof/>
          <w:lang w:val="nl-NL" w:eastAsia="nl-NL"/>
        </w:rPr>
        <w:drawing>
          <wp:inline distT="0" distB="0" distL="0" distR="0" wp14:anchorId="779DF427" wp14:editId="672672DE">
            <wp:extent cx="6124575" cy="4374154"/>
            <wp:effectExtent l="0" t="0" r="0" b="7620"/>
            <wp:docPr id="38" name="Picture 38" descr="Y:\ontwapps\Timer\Users\Mathijs\Projects\EMF30\EMF30 - info\INDC paper\plots\plots_new_figures_NDC\Figure 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ontwapps\Timer\Users\Mathijs\Projects\EMF30\EMF30 - info\INDC paper\plots\plots_new_figures_NDC\Figure S4.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6667" cy="4375648"/>
                    </a:xfrm>
                    <a:prstGeom prst="rect">
                      <a:avLst/>
                    </a:prstGeom>
                    <a:noFill/>
                    <a:ln>
                      <a:noFill/>
                    </a:ln>
                  </pic:spPr>
                </pic:pic>
              </a:graphicData>
            </a:graphic>
          </wp:inline>
        </w:drawing>
      </w:r>
    </w:p>
    <w:p w14:paraId="3C5A94F3" w14:textId="77777777" w:rsidR="00AD49EB" w:rsidRPr="00DA5119" w:rsidRDefault="00AD49EB" w:rsidP="00DA5119">
      <w:pPr>
        <w:ind w:left="-90"/>
        <w:rPr>
          <w:lang w:val="en-US"/>
        </w:rPr>
      </w:pPr>
    </w:p>
    <w:p w14:paraId="7A1107E3" w14:textId="77777777" w:rsidR="00AD49EB" w:rsidRPr="00DA5119" w:rsidRDefault="00AD49EB" w:rsidP="00DA5119">
      <w:pPr>
        <w:ind w:left="-90"/>
        <w:rPr>
          <w:lang w:val="en-US"/>
        </w:rPr>
      </w:pPr>
      <w:r w:rsidRPr="00DA5119">
        <w:rPr>
          <w:lang w:val="en-US"/>
        </w:rPr>
        <w:br w:type="page"/>
      </w:r>
    </w:p>
    <w:p w14:paraId="2C98E8A8" w14:textId="69A53826" w:rsidR="007F3A28" w:rsidRPr="00DA5119" w:rsidRDefault="007F3A28" w:rsidP="00DA5119">
      <w:pPr>
        <w:pStyle w:val="Heading3"/>
        <w:ind w:left="-90"/>
        <w:rPr>
          <w:rFonts w:asciiTheme="minorHAnsi" w:hAnsiTheme="minorHAnsi"/>
          <w:lang w:val="en-US"/>
        </w:rPr>
      </w:pPr>
      <w:r w:rsidRPr="00DA5119">
        <w:rPr>
          <w:rFonts w:asciiTheme="minorHAnsi" w:hAnsiTheme="minorHAnsi"/>
          <w:lang w:val="en-US"/>
        </w:rPr>
        <w:lastRenderedPageBreak/>
        <w:t>S5 Sectoral CH</w:t>
      </w:r>
      <w:r w:rsidRPr="00DA5119">
        <w:rPr>
          <w:rFonts w:asciiTheme="minorHAnsi" w:hAnsiTheme="minorHAnsi"/>
          <w:vertAlign w:val="subscript"/>
          <w:lang w:val="en-US"/>
        </w:rPr>
        <w:t>4</w:t>
      </w:r>
      <w:r w:rsidRPr="00DA5119">
        <w:rPr>
          <w:rFonts w:asciiTheme="minorHAnsi" w:hAnsiTheme="minorHAnsi"/>
          <w:lang w:val="en-US"/>
        </w:rPr>
        <w:t xml:space="preserve"> emission reduction potential</w:t>
      </w:r>
      <w:r w:rsidR="00E1161B" w:rsidRPr="00DA5119">
        <w:rPr>
          <w:rFonts w:asciiTheme="minorHAnsi" w:hAnsiTheme="minorHAnsi"/>
          <w:lang w:val="en-US"/>
        </w:rPr>
        <w:t xml:space="preserve"> and the role of agriculture</w:t>
      </w:r>
    </w:p>
    <w:p w14:paraId="0B11AC1E" w14:textId="76F186B4" w:rsidR="007F3A28" w:rsidRPr="00DA5119" w:rsidRDefault="007F3A28" w:rsidP="00DA5119">
      <w:pPr>
        <w:ind w:left="-90"/>
        <w:rPr>
          <w:lang w:val="en-US"/>
        </w:rPr>
      </w:pPr>
    </w:p>
    <w:p w14:paraId="42F861F1" w14:textId="7D4A811E" w:rsidR="00E1161B" w:rsidRPr="00DA5119" w:rsidRDefault="00E1161B" w:rsidP="00DA5119">
      <w:pPr>
        <w:ind w:left="-90"/>
        <w:jc w:val="both"/>
        <w:rPr>
          <w:i/>
          <w:lang w:val="en-US"/>
        </w:rPr>
      </w:pPr>
      <w:r w:rsidRPr="00DA5119">
        <w:rPr>
          <w:lang w:val="en-US"/>
        </w:rPr>
        <w:t xml:space="preserve">Figure S5.1 (from: </w:t>
      </w:r>
      <w:hyperlink w:anchor="_ENREF_17" w:tooltip="Harmsen, 2018 #466" w:history="1">
        <w:r w:rsidR="00884561" w:rsidRPr="00DA5119">
          <w:rPr>
            <w:lang w:val="en-US"/>
          </w:rPr>
          <w:fldChar w:fldCharType="begin"/>
        </w:r>
        <w:r w:rsidR="00884561" w:rsidRPr="00DA5119">
          <w:rPr>
            <w:lang w:val="en-US"/>
          </w:rPr>
          <w:instrText xml:space="preserve"> ADDIN EN.CITE &lt;EndNote&gt;&lt;Cite AuthorYear="1"&gt;&lt;Author&gt;Harmsen&lt;/Author&gt;&lt;Year&gt;2018&lt;/Year&gt;&lt;RecNum&gt;466&lt;/RecNum&gt;&lt;DisplayText&gt;Harmsen et al. (2018)&lt;/DisplayText&gt;&lt;record&gt;&lt;rec-number&gt;466&lt;/rec-number&gt;&lt;foreign-keys&gt;&lt;key app="EN" db-id="ewxvdw52e55r2gefrsovdxwk0xrz0v2zfp2s" timestamp="1521814154"&gt;466&lt;/key&gt;&lt;/foreign-keys&gt;&lt;ref-type name="Journal Article"&gt;17&lt;/ref-type&gt;&lt;contributors&gt;&lt;authors&gt;&lt;author&gt;Mathijs Harmsen&lt;/author&gt;&lt;author&gt;Detlef P. van Vuuren&lt;/author&gt;&lt;author&gt;Benjamin Leon Bodirsky&lt;/author&gt;&lt;author&gt;Jean Chateau&lt;/author&gt;&lt;author&gt;Olivier Durand-Lasserve&lt;/author&gt;&lt;author&gt;Laurent Drouet&lt;/author&gt;&lt;author&gt;Oliver Fricko&lt;/author&gt;&lt;author&gt;Shinichiro Fujimori&lt;/author&gt;&lt;author&gt;David E.H.J. Gernaat&lt;/author&gt;&lt;author&gt;Tatsuya Hanaoka&lt;/author&gt;&lt;author&gt;Jérome Hilaire&lt;/author&gt;&lt;author&gt;Kimon Keramidas&lt;/author&gt;&lt;author&gt;Gunnar Luderer&lt;/author&gt;&lt;author&gt;Maria Cecilia P. Moura&lt;/author&gt;&lt;author&gt;Fuminori Sano&lt;/author&gt;&lt;author&gt;Steven J. Smith&lt;/author&gt;&lt;author&gt;Kenichi Wada&lt;/author&gt;&lt;/authors&gt;&lt;/contributors&gt;&lt;titles&gt;&lt;title&gt;The role of methane in future climate strategies: Mitigation potentials and climate impacts&lt;/title&gt;&lt;secondary-title&gt;Climatic Change (EMF30 Special Edition, under review)&lt;/secondary-title&gt;&lt;/titles&gt;&lt;periodical&gt;&lt;full-title&gt;Climatic Change (EMF30 Special Edition, under review)&lt;/full-title&gt;&lt;/periodical&gt;&lt;dates&gt;&lt;year&gt;2018&lt;/year&gt;&lt;/dates&gt;&lt;urls&gt;&lt;/urls&gt;&lt;/record&gt;&lt;/Cite&gt;&lt;/EndNote&gt;</w:instrText>
        </w:r>
        <w:r w:rsidR="00884561" w:rsidRPr="00DA5119">
          <w:rPr>
            <w:lang w:val="en-US"/>
          </w:rPr>
          <w:fldChar w:fldCharType="separate"/>
        </w:r>
        <w:r w:rsidR="00884561" w:rsidRPr="00DA5119">
          <w:rPr>
            <w:lang w:val="en-US"/>
          </w:rPr>
          <w:t>Harmsen et al. (2018)</w:t>
        </w:r>
        <w:r w:rsidR="00884561" w:rsidRPr="00DA5119">
          <w:rPr>
            <w:lang w:val="en-US"/>
          </w:rPr>
          <w:fldChar w:fldCharType="end"/>
        </w:r>
      </w:hyperlink>
      <w:r w:rsidRPr="00DA5119">
        <w:rPr>
          <w:lang w:val="en-US"/>
        </w:rPr>
        <w:t>) shows how mitigation of CH</w:t>
      </w:r>
      <w:r w:rsidRPr="00DA5119">
        <w:rPr>
          <w:vertAlign w:val="subscript"/>
          <w:lang w:val="en-US"/>
        </w:rPr>
        <w:t>4</w:t>
      </w:r>
      <w:r w:rsidRPr="00DA5119">
        <w:rPr>
          <w:lang w:val="en-US"/>
        </w:rPr>
        <w:t xml:space="preserve"> emissions from agriculture is projected to be a large bottleneck in the mitigation of global CH</w:t>
      </w:r>
      <w:r w:rsidRPr="00DA5119">
        <w:rPr>
          <w:vertAlign w:val="subscript"/>
          <w:lang w:val="en-US"/>
        </w:rPr>
        <w:t>4</w:t>
      </w:r>
      <w:r w:rsidRPr="00DA5119">
        <w:rPr>
          <w:lang w:val="en-US"/>
        </w:rPr>
        <w:t xml:space="preserve"> emissions. A comparison is made between the no climate policy baseline (Reference) and the 2 degree mitigation case (ClimPolicy, which for </w:t>
      </w:r>
      <w:r w:rsidR="00271698" w:rsidRPr="00DA5119">
        <w:rPr>
          <w:lang w:val="en-US"/>
        </w:rPr>
        <w:t xml:space="preserve">the </w:t>
      </w:r>
      <w:r w:rsidRPr="00DA5119">
        <w:rPr>
          <w:lang w:val="en-US"/>
        </w:rPr>
        <w:t>agriculture</w:t>
      </w:r>
      <w:r w:rsidR="00271698" w:rsidRPr="00DA5119">
        <w:rPr>
          <w:lang w:val="en-US"/>
        </w:rPr>
        <w:t xml:space="preserve"> sector,</w:t>
      </w:r>
      <w:r w:rsidRPr="00DA5119">
        <w:rPr>
          <w:lang w:val="en-US"/>
        </w:rPr>
        <w:t xml:space="preserve"> is very comparable to the SLCF scenarios in this study, and which</w:t>
      </w:r>
      <w:r w:rsidR="00271698" w:rsidRPr="00DA5119">
        <w:rPr>
          <w:lang w:val="en-US"/>
        </w:rPr>
        <w:t xml:space="preserve"> effectively</w:t>
      </w:r>
      <w:r w:rsidRPr="00DA5119">
        <w:rPr>
          <w:lang w:val="en-US"/>
        </w:rPr>
        <w:t xml:space="preserve"> represents the maximum reduction potential projected by the models). From Harmsen et al. 2018: “</w:t>
      </w:r>
      <w:r w:rsidRPr="00DA5119">
        <w:rPr>
          <w:i/>
          <w:lang w:val="en-US"/>
        </w:rPr>
        <w:t>In 2010, agriculture emissions (from livestock, rice and other crops) are found to be the largest anthropogenic source (43%-49% of total emissions), followed by energy supply and demand (32%-39%) and waste (16%-22%). Without climate policy, emissions from all three main aggregated sectors will continue to increase, with similar growth rates (i.e. their relative contribution to total emissions are not expected to change much in time, see Supplement). In ClimPolicy scenario, energy emissions are expected to decrease dramatically, due to a combination of direct mitigation and a reduction of fossil fuel. Waste emissions in 2100 are expected to decrease by half compared to 2010, while agriculture emissions are projected to only slightly decrease or even remain stable. This difference in sectoral mitigation potential makes agriculture CH4 emissions by far the largest source of remaining emissions under the climate policy scenario: 60% to 80% in of total emissions 2050 and 55% to 88% in 2100.</w:t>
      </w:r>
      <w:r w:rsidR="0035039C" w:rsidRPr="00DA5119">
        <w:rPr>
          <w:i/>
          <w:lang w:val="en-US"/>
        </w:rPr>
        <w:t>”</w:t>
      </w:r>
    </w:p>
    <w:p w14:paraId="494BB38E" w14:textId="479A947C" w:rsidR="00C77C8F" w:rsidRPr="00DA5119" w:rsidRDefault="0035039C" w:rsidP="00DA5119">
      <w:pPr>
        <w:ind w:left="-90"/>
        <w:jc w:val="both"/>
        <w:rPr>
          <w:lang w:val="en-US"/>
        </w:rPr>
      </w:pPr>
      <w:r w:rsidRPr="00DA5119">
        <w:rPr>
          <w:lang w:val="en-US"/>
        </w:rPr>
        <w:t xml:space="preserve">In </w:t>
      </w:r>
      <w:r w:rsidR="00C77C8F" w:rsidRPr="00DA5119">
        <w:rPr>
          <w:lang w:val="en-US"/>
        </w:rPr>
        <w:t>this study, maximum relative emission reductions of CH</w:t>
      </w:r>
      <w:r w:rsidR="00C77C8F" w:rsidRPr="00DA5119">
        <w:rPr>
          <w:vertAlign w:val="subscript"/>
          <w:lang w:val="en-US"/>
        </w:rPr>
        <w:t>4</w:t>
      </w:r>
      <w:r w:rsidR="00C77C8F" w:rsidRPr="00DA5119">
        <w:rPr>
          <w:lang w:val="en-US"/>
        </w:rPr>
        <w:t xml:space="preserve"> from agriculture are 22% in 2030 (=model mean difference between </w:t>
      </w:r>
      <w:r w:rsidR="00E1161B" w:rsidRPr="00DA5119">
        <w:rPr>
          <w:lang w:val="en-US"/>
        </w:rPr>
        <w:t xml:space="preserve">NDC+2degC+SLCF </w:t>
      </w:r>
      <w:r w:rsidR="00C77C8F" w:rsidRPr="00DA5119">
        <w:rPr>
          <w:lang w:val="en-US"/>
        </w:rPr>
        <w:t>and</w:t>
      </w:r>
      <w:r w:rsidR="00E1161B" w:rsidRPr="00DA5119">
        <w:rPr>
          <w:lang w:val="en-US"/>
        </w:rPr>
        <w:t xml:space="preserve"> Reference</w:t>
      </w:r>
      <w:r w:rsidR="00C77C8F" w:rsidRPr="00DA5119">
        <w:rPr>
          <w:lang w:val="en-US"/>
        </w:rPr>
        <w:t xml:space="preserve">, range = </w:t>
      </w:r>
      <w:r w:rsidR="00E1161B" w:rsidRPr="00DA5119">
        <w:rPr>
          <w:lang w:val="en-US"/>
        </w:rPr>
        <w:t>12%</w:t>
      </w:r>
      <w:r w:rsidR="00C77C8F" w:rsidRPr="00DA5119">
        <w:rPr>
          <w:lang w:val="en-US"/>
        </w:rPr>
        <w:t xml:space="preserve"> </w:t>
      </w:r>
      <w:r w:rsidR="00E1161B" w:rsidRPr="00DA5119">
        <w:rPr>
          <w:lang w:val="en-US"/>
        </w:rPr>
        <w:t>-</w:t>
      </w:r>
      <w:r w:rsidR="00C77C8F" w:rsidRPr="00DA5119">
        <w:rPr>
          <w:lang w:val="en-US"/>
        </w:rPr>
        <w:t xml:space="preserve"> </w:t>
      </w:r>
      <w:r w:rsidR="00E1161B" w:rsidRPr="00DA5119">
        <w:rPr>
          <w:lang w:val="en-US"/>
        </w:rPr>
        <w:t>32%)</w:t>
      </w:r>
      <w:r w:rsidR="00C77C8F" w:rsidRPr="00DA5119">
        <w:rPr>
          <w:lang w:val="en-US"/>
        </w:rPr>
        <w:t>, 4</w:t>
      </w:r>
      <w:r w:rsidR="00E1161B" w:rsidRPr="00DA5119">
        <w:rPr>
          <w:lang w:val="en-US"/>
        </w:rPr>
        <w:t>4%</w:t>
      </w:r>
      <w:r w:rsidR="00C77C8F" w:rsidRPr="00DA5119">
        <w:rPr>
          <w:lang w:val="en-US"/>
        </w:rPr>
        <w:t xml:space="preserve"> in 2050 </w:t>
      </w:r>
      <w:r w:rsidR="00E1161B" w:rsidRPr="00DA5119">
        <w:rPr>
          <w:lang w:val="en-US"/>
        </w:rPr>
        <w:t>(</w:t>
      </w:r>
      <w:r w:rsidR="00C77C8F" w:rsidRPr="00DA5119">
        <w:rPr>
          <w:lang w:val="en-US"/>
        </w:rPr>
        <w:t xml:space="preserve">range 21% - 54%) and </w:t>
      </w:r>
      <w:r w:rsidR="00E1161B" w:rsidRPr="00DA5119">
        <w:rPr>
          <w:lang w:val="en-US"/>
        </w:rPr>
        <w:t>57%</w:t>
      </w:r>
      <w:r w:rsidR="00C77C8F" w:rsidRPr="00DA5119">
        <w:rPr>
          <w:lang w:val="en-US"/>
        </w:rPr>
        <w:t xml:space="preserve"> in 2100 </w:t>
      </w:r>
      <w:r w:rsidR="00E1161B" w:rsidRPr="00DA5119">
        <w:rPr>
          <w:lang w:val="en-US"/>
        </w:rPr>
        <w:t>(</w:t>
      </w:r>
      <w:r w:rsidR="00C77C8F" w:rsidRPr="00DA5119">
        <w:rPr>
          <w:lang w:val="en-US"/>
        </w:rPr>
        <w:t xml:space="preserve">range </w:t>
      </w:r>
      <w:r w:rsidR="00E1161B" w:rsidRPr="00DA5119">
        <w:rPr>
          <w:lang w:val="en-US"/>
        </w:rPr>
        <w:t>38% - 79%)</w:t>
      </w:r>
      <w:r w:rsidR="00C77C8F" w:rsidRPr="00DA5119">
        <w:rPr>
          <w:lang w:val="en-US"/>
        </w:rPr>
        <w:t>. This indicates how the models consistently expect limitations in the mitigation of agriculture CH</w:t>
      </w:r>
      <w:r w:rsidR="00C77C8F" w:rsidRPr="00DA5119">
        <w:rPr>
          <w:vertAlign w:val="subscript"/>
          <w:lang w:val="en-US"/>
        </w:rPr>
        <w:t>4</w:t>
      </w:r>
      <w:r w:rsidR="00C77C8F" w:rsidRPr="00DA5119">
        <w:rPr>
          <w:lang w:val="en-US"/>
        </w:rPr>
        <w:t xml:space="preserve"> emissions, but also </w:t>
      </w:r>
      <w:r w:rsidR="00271698" w:rsidRPr="00DA5119">
        <w:rPr>
          <w:lang w:val="en-US"/>
        </w:rPr>
        <w:t>indicates a large uncertainty.</w:t>
      </w:r>
    </w:p>
    <w:p w14:paraId="7AE314B5" w14:textId="5DBD0DE5" w:rsidR="00C77C8F" w:rsidRPr="00DA5119" w:rsidRDefault="00C77C8F" w:rsidP="00DA5119">
      <w:pPr>
        <w:ind w:left="-90"/>
        <w:jc w:val="both"/>
        <w:rPr>
          <w:lang w:val="en-US"/>
        </w:rPr>
      </w:pPr>
      <w:r w:rsidRPr="00DA5119">
        <w:rPr>
          <w:lang w:val="en-US"/>
        </w:rPr>
        <w:t>Note that the projected reductions result from “end-of-pipe” solutions and that food demand / lifestyle related solutions play a much smaller role (e.g. reducing enteric fermentation emissions through genetic selection and food supplements for</w:t>
      </w:r>
      <w:bookmarkStart w:id="1" w:name="_GoBack"/>
      <w:bookmarkEnd w:id="1"/>
      <w:r w:rsidRPr="00DA5119">
        <w:rPr>
          <w:lang w:val="en-US"/>
        </w:rPr>
        <w:t xml:space="preserve"> ruminant animals, rather than eating less meat (products)). Partly, this is a consequence of using SSP2 as a baseline scenario, in which a steady growth of global meat product demand is projected (unlike in SSP1, where this demand is much smaller). Note, however, that most models do include price feedbacks, where ruminant meat and dairy demand is lowered somewhat as a result of higher CH</w:t>
      </w:r>
      <w:r w:rsidRPr="00DA5119">
        <w:rPr>
          <w:vertAlign w:val="subscript"/>
          <w:lang w:val="en-US"/>
        </w:rPr>
        <w:t>4</w:t>
      </w:r>
      <w:r w:rsidRPr="00DA5119">
        <w:rPr>
          <w:lang w:val="en-US"/>
        </w:rPr>
        <w:t xml:space="preserve"> prices.</w:t>
      </w:r>
    </w:p>
    <w:p w14:paraId="68E35F90" w14:textId="77777777" w:rsidR="007E6589" w:rsidRDefault="007E6589" w:rsidP="00643584">
      <w:pPr>
        <w:ind w:left="-90"/>
        <w:jc w:val="both"/>
        <w:rPr>
          <w:rFonts w:ascii="Calibri" w:hAnsi="Calibri"/>
          <w:lang w:val="en-US"/>
        </w:rPr>
      </w:pPr>
      <w:r>
        <w:rPr>
          <w:rFonts w:ascii="Calibri" w:hAnsi="Calibri"/>
          <w:lang w:val="en-US"/>
        </w:rPr>
        <w:t>Due to physiological limitations in ruminants, it seems unlikely that CH</w:t>
      </w:r>
      <w:r>
        <w:rPr>
          <w:rFonts w:ascii="Calibri" w:hAnsi="Calibri"/>
          <w:vertAlign w:val="subscript"/>
          <w:lang w:val="en-US"/>
        </w:rPr>
        <w:t>4</w:t>
      </w:r>
      <w:r>
        <w:rPr>
          <w:rFonts w:ascii="Calibri" w:hAnsi="Calibri"/>
          <w:lang w:val="en-US"/>
        </w:rPr>
        <w:t xml:space="preserve"> emission reductions in agriculture can be much higher than projected (with enteric fermentation emission reductions of higher than 60%), through technological advances alone (e.g. better genetic selection and improved food supplements). However, higher reductions would in principle be feasible, </w:t>
      </w:r>
      <w:r w:rsidRPr="00144683">
        <w:rPr>
          <w:rFonts w:ascii="Calibri" w:hAnsi="Calibri"/>
          <w:lang w:val="en-US"/>
        </w:rPr>
        <w:t>either by lifestyle changes (i.e. lower demand of meat and dairy) or for instanc</w:t>
      </w:r>
      <w:r>
        <w:rPr>
          <w:rFonts w:ascii="Calibri" w:hAnsi="Calibri"/>
          <w:lang w:val="en-US"/>
        </w:rPr>
        <w:t>e by cultivated meat production.</w:t>
      </w:r>
    </w:p>
    <w:p w14:paraId="75D5F771" w14:textId="77777777" w:rsidR="007E6589" w:rsidRPr="00144683" w:rsidRDefault="007E6589" w:rsidP="00643584">
      <w:pPr>
        <w:ind w:left="-90"/>
        <w:jc w:val="both"/>
        <w:rPr>
          <w:rFonts w:ascii="Calibri" w:hAnsi="Calibri"/>
          <w:lang w:val="en-US"/>
        </w:rPr>
      </w:pPr>
      <w:r w:rsidRPr="00144683">
        <w:rPr>
          <w:rFonts w:ascii="Calibri" w:hAnsi="Calibri"/>
          <w:lang w:val="en-US"/>
        </w:rPr>
        <w:t>If it would be possible to further bring down emissions from agriculture, emissions are expected to be much lower in both the NDC+2degC and NDC+2degC+SLCF cases, particularly by the end of the century when climate action is ambitious in both cases. The short-term impact of SLCF policy could then be considerably higher. However, the difference in GMT in 2100 between the two cases would likely be low, as the level of SLCF emissions would be comparable in the two scenarios by the end of the century.</w:t>
      </w:r>
    </w:p>
    <w:p w14:paraId="19F5298F" w14:textId="77777777" w:rsidR="00C77C8F" w:rsidRPr="00DA5119" w:rsidRDefault="00C77C8F" w:rsidP="00DA5119">
      <w:pPr>
        <w:ind w:left="-90"/>
        <w:rPr>
          <w:lang w:val="en-US"/>
        </w:rPr>
      </w:pPr>
    </w:p>
    <w:p w14:paraId="7631630C" w14:textId="583BD332" w:rsidR="00E1161B" w:rsidRPr="00DA5119" w:rsidRDefault="00E1161B" w:rsidP="00DA5119">
      <w:pPr>
        <w:ind w:left="-90"/>
        <w:rPr>
          <w:lang w:val="en-US"/>
        </w:rPr>
      </w:pPr>
    </w:p>
    <w:p w14:paraId="0A220573" w14:textId="7B75E8C3" w:rsidR="00E1161B" w:rsidRPr="00DA5119" w:rsidRDefault="00E1161B" w:rsidP="00DA5119">
      <w:pPr>
        <w:ind w:left="-90"/>
        <w:rPr>
          <w:lang w:val="en-US"/>
        </w:rPr>
      </w:pPr>
    </w:p>
    <w:p w14:paraId="756F7EDE" w14:textId="77777777" w:rsidR="00E1161B" w:rsidRPr="00DA5119" w:rsidRDefault="00E1161B" w:rsidP="00DA5119">
      <w:pPr>
        <w:ind w:left="-90"/>
        <w:rPr>
          <w:lang w:val="en-US"/>
        </w:rPr>
      </w:pPr>
    </w:p>
    <w:p w14:paraId="6E6413A7" w14:textId="58EE3ED7" w:rsidR="007F3A28" w:rsidRPr="00DA5119" w:rsidRDefault="007F3A28" w:rsidP="00DA5119">
      <w:pPr>
        <w:spacing w:after="0" w:line="240" w:lineRule="auto"/>
        <w:ind w:left="-90"/>
        <w:jc w:val="both"/>
        <w:rPr>
          <w:rFonts w:eastAsia="Calibri" w:cs="Times New Roman"/>
          <w:noProof/>
          <w:sz w:val="20"/>
          <w:szCs w:val="20"/>
        </w:rPr>
      </w:pPr>
      <w:r w:rsidRPr="00DA5119">
        <w:rPr>
          <w:rFonts w:eastAsia="Calibri" w:cs="Times New Roman"/>
          <w:b/>
          <w:noProof/>
          <w:sz w:val="20"/>
          <w:szCs w:val="20"/>
        </w:rPr>
        <w:t xml:space="preserve">Figure  S5.1: </w:t>
      </w:r>
      <w:r w:rsidRPr="00DA5119">
        <w:rPr>
          <w:rFonts w:eastAsia="Calibri" w:cs="Times New Roman"/>
          <w:noProof/>
          <w:sz w:val="20"/>
          <w:szCs w:val="20"/>
        </w:rPr>
        <w:t>Global CH</w:t>
      </w:r>
      <w:r w:rsidRPr="00DA5119">
        <w:rPr>
          <w:rFonts w:eastAsia="Calibri" w:cs="Times New Roman"/>
          <w:noProof/>
          <w:sz w:val="20"/>
          <w:szCs w:val="20"/>
          <w:vertAlign w:val="subscript"/>
        </w:rPr>
        <w:t>4</w:t>
      </w:r>
      <w:r w:rsidRPr="00DA5119">
        <w:rPr>
          <w:rFonts w:eastAsia="Calibri" w:cs="Times New Roman"/>
          <w:noProof/>
          <w:sz w:val="20"/>
          <w:szCs w:val="20"/>
        </w:rPr>
        <w:t xml:space="preserve"> emissions in the no policy Reference and 2</w:t>
      </w:r>
      <w:r w:rsidRPr="00DA5119">
        <w:rPr>
          <w:rFonts w:eastAsia="Calibri" w:cs="Times New Roman"/>
          <w:noProof/>
          <w:sz w:val="20"/>
          <w:szCs w:val="20"/>
          <w:vertAlign w:val="superscript"/>
        </w:rPr>
        <w:t>o</w:t>
      </w:r>
      <w:r w:rsidRPr="00DA5119">
        <w:rPr>
          <w:rFonts w:eastAsia="Calibri" w:cs="Times New Roman"/>
          <w:noProof/>
          <w:sz w:val="20"/>
          <w:szCs w:val="20"/>
        </w:rPr>
        <w:t xml:space="preserve">C ClimPolicy cases for 2050 and 2100. Based on: </w:t>
      </w:r>
      <w:hyperlink w:anchor="_ENREF_17" w:tooltip="Harmsen, 2018 #466" w:history="1">
        <w:r w:rsidR="00884561" w:rsidRPr="00DA5119">
          <w:rPr>
            <w:rFonts w:eastAsia="Calibri" w:cs="Times New Roman"/>
            <w:noProof/>
            <w:sz w:val="20"/>
            <w:szCs w:val="20"/>
          </w:rPr>
          <w:fldChar w:fldCharType="begin"/>
        </w:r>
        <w:r w:rsidR="00884561" w:rsidRPr="00DA5119">
          <w:rPr>
            <w:rFonts w:eastAsia="Calibri" w:cs="Times New Roman"/>
            <w:noProof/>
            <w:sz w:val="20"/>
            <w:szCs w:val="20"/>
          </w:rPr>
          <w:instrText xml:space="preserve"> ADDIN EN.CITE &lt;EndNote&gt;&lt;Cite AuthorYear="1"&gt;&lt;Author&gt;Harmsen&lt;/Author&gt;&lt;Year&gt;2018&lt;/Year&gt;&lt;RecNum&gt;466&lt;/RecNum&gt;&lt;DisplayText&gt;Harmsen et al. (2018)&lt;/DisplayText&gt;&lt;record&gt;&lt;rec-number&gt;466&lt;/rec-number&gt;&lt;foreign-keys&gt;&lt;key app="EN" db-id="ewxvdw52e55r2gefrsovdxwk0xrz0v2zfp2s" timestamp="1521814154"&gt;466&lt;/key&gt;&lt;/foreign-keys&gt;&lt;ref-type name="Journal Article"&gt;17&lt;/ref-type&gt;&lt;contributors&gt;&lt;authors&gt;&lt;author&gt;Mathijs Harmsen&lt;/author&gt;&lt;author&gt;Detlef P. van Vuuren&lt;/author&gt;&lt;author&gt;Benjamin Leon Bodirsky&lt;/author&gt;&lt;author&gt;Jean Chateau&lt;/author&gt;&lt;author&gt;Olivier Durand-Lasserve&lt;/author&gt;&lt;author&gt;Laurent Drouet&lt;/author&gt;&lt;author&gt;Oliver Fricko&lt;/author&gt;&lt;author&gt;Shinichiro Fujimori&lt;/author&gt;&lt;author&gt;David E.H.J. Gernaat&lt;/author&gt;&lt;author&gt;Tatsuya Hanaoka&lt;/author&gt;&lt;author&gt;Jérome Hilaire&lt;/author&gt;&lt;author&gt;Kimon Keramidas&lt;/author&gt;&lt;author&gt;Gunnar Luderer&lt;/author&gt;&lt;author&gt;Maria Cecilia P. Moura&lt;/author&gt;&lt;author&gt;Fuminori Sano&lt;/author&gt;&lt;author&gt;Steven J. Smith&lt;/author&gt;&lt;author&gt;Kenichi Wada&lt;/author&gt;&lt;/authors&gt;&lt;/contributors&gt;&lt;titles&gt;&lt;title&gt;The role of methane in future climate strategies: Mitigation potentials and climate impacts&lt;/title&gt;&lt;secondary-title&gt;Climatic Change (EMF30 Special Edition, under review)&lt;/secondary-title&gt;&lt;/titles&gt;&lt;periodical&gt;&lt;full-title&gt;Climatic Change (EMF30 Special Edition, under review)&lt;/full-title&gt;&lt;/periodical&gt;&lt;dates&gt;&lt;year&gt;2018&lt;/year&gt;&lt;/dates&gt;&lt;urls&gt;&lt;/urls&gt;&lt;/record&gt;&lt;/Cite&gt;&lt;/EndNote&gt;</w:instrText>
        </w:r>
        <w:r w:rsidR="00884561" w:rsidRPr="00DA5119">
          <w:rPr>
            <w:rFonts w:eastAsia="Calibri" w:cs="Times New Roman"/>
            <w:noProof/>
            <w:sz w:val="20"/>
            <w:szCs w:val="20"/>
          </w:rPr>
          <w:fldChar w:fldCharType="separate"/>
        </w:r>
        <w:r w:rsidR="00884561" w:rsidRPr="00DA5119">
          <w:rPr>
            <w:rFonts w:eastAsia="Calibri" w:cs="Times New Roman"/>
            <w:noProof/>
            <w:sz w:val="20"/>
            <w:szCs w:val="20"/>
          </w:rPr>
          <w:t>Harmsen et al. (2018)</w:t>
        </w:r>
        <w:r w:rsidR="00884561" w:rsidRPr="00DA5119">
          <w:rPr>
            <w:rFonts w:eastAsia="Calibri" w:cs="Times New Roman"/>
            <w:noProof/>
            <w:sz w:val="20"/>
            <w:szCs w:val="20"/>
          </w:rPr>
          <w:fldChar w:fldCharType="end"/>
        </w:r>
      </w:hyperlink>
      <w:r w:rsidR="00B17952" w:rsidRPr="00DA5119">
        <w:rPr>
          <w:rFonts w:eastAsia="Calibri" w:cs="Times New Roman"/>
          <w:noProof/>
          <w:sz w:val="20"/>
          <w:szCs w:val="20"/>
        </w:rPr>
        <w:t xml:space="preserve">. </w:t>
      </w:r>
      <w:r w:rsidRPr="00DA5119">
        <w:rPr>
          <w:rFonts w:eastAsia="Calibri" w:cs="Times New Roman"/>
          <w:noProof/>
          <w:sz w:val="20"/>
          <w:szCs w:val="20"/>
        </w:rPr>
        <w:t>Subdivision into 1) Energy supply and demand 2) Agriculture 3) Waste (</w:t>
      </w:r>
      <w:r w:rsidRPr="00DA5119">
        <w:rPr>
          <w:rFonts w:eastAsia="Calibri" w:cs="Times New Roman"/>
          <w:sz w:val="20"/>
          <w:szCs w:val="20"/>
          <w:lang w:val="en-US"/>
        </w:rPr>
        <w:t>Boxplot and whiskers based on quartiles, line shows median, cross shows mean.</w:t>
      </w:r>
      <w:r w:rsidRPr="00DA5119">
        <w:rPr>
          <w:rFonts w:eastAsia="Calibri" w:cs="Times New Roman"/>
          <w:noProof/>
          <w:sz w:val="20"/>
          <w:szCs w:val="20"/>
        </w:rPr>
        <w:t xml:space="preserve"> </w:t>
      </w:r>
    </w:p>
    <w:p w14:paraId="1052DE23" w14:textId="77777777" w:rsidR="007F3A28" w:rsidRPr="00DA5119" w:rsidRDefault="007F3A28" w:rsidP="00DA5119">
      <w:pPr>
        <w:ind w:left="-90"/>
        <w:rPr>
          <w:rFonts w:eastAsia="Calibri" w:cs="Times New Roman"/>
          <w:lang w:val="en-US"/>
        </w:rPr>
      </w:pPr>
      <w:r w:rsidRPr="00DA5119">
        <w:rPr>
          <w:rFonts w:eastAsia="Calibri" w:cs="Times New Roman"/>
          <w:noProof/>
          <w:lang w:val="nl-NL" w:eastAsia="nl-NL"/>
        </w:rPr>
        <w:drawing>
          <wp:inline distT="0" distB="0" distL="0" distR="0" wp14:anchorId="5620B0EA" wp14:editId="3F2FF6CC">
            <wp:extent cx="5066374" cy="273367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76904" cy="2739357"/>
                    </a:xfrm>
                    <a:prstGeom prst="rect">
                      <a:avLst/>
                    </a:prstGeom>
                  </pic:spPr>
                </pic:pic>
              </a:graphicData>
            </a:graphic>
          </wp:inline>
        </w:drawing>
      </w:r>
    </w:p>
    <w:p w14:paraId="2339E4DF" w14:textId="7B617ADE" w:rsidR="007F3A28" w:rsidRPr="00DA5119" w:rsidRDefault="007F3A28" w:rsidP="00DA5119">
      <w:pPr>
        <w:ind w:left="-90"/>
        <w:rPr>
          <w:lang w:val="en-US"/>
        </w:rPr>
      </w:pPr>
    </w:p>
    <w:p w14:paraId="64E87223" w14:textId="715A7EEA" w:rsidR="00E1161B" w:rsidRPr="00DA5119" w:rsidRDefault="00E1161B" w:rsidP="00DA5119">
      <w:pPr>
        <w:ind w:left="-90"/>
        <w:rPr>
          <w:lang w:val="en-US"/>
        </w:rPr>
      </w:pPr>
    </w:p>
    <w:p w14:paraId="37C3BD96" w14:textId="0FFF37BA" w:rsidR="0035039C" w:rsidRPr="00DA5119" w:rsidRDefault="0035039C" w:rsidP="00DA5119">
      <w:pPr>
        <w:ind w:left="-90"/>
        <w:rPr>
          <w:lang w:val="en-US"/>
        </w:rPr>
      </w:pPr>
    </w:p>
    <w:p w14:paraId="4D0989D9" w14:textId="1CF1333A" w:rsidR="0035039C" w:rsidRPr="00DA5119" w:rsidRDefault="0035039C" w:rsidP="00DA5119">
      <w:pPr>
        <w:ind w:left="-90"/>
        <w:rPr>
          <w:lang w:val="en-US"/>
        </w:rPr>
      </w:pPr>
    </w:p>
    <w:p w14:paraId="6C46F2D0" w14:textId="77777777" w:rsidR="0035039C" w:rsidRPr="00DA5119" w:rsidRDefault="0035039C" w:rsidP="00DA5119">
      <w:pPr>
        <w:ind w:left="-90"/>
        <w:rPr>
          <w:lang w:val="en-US"/>
        </w:rPr>
      </w:pPr>
    </w:p>
    <w:p w14:paraId="69F97D69" w14:textId="77777777" w:rsidR="002912A6" w:rsidRPr="00DA5119" w:rsidRDefault="002912A6" w:rsidP="00DA5119">
      <w:pPr>
        <w:ind w:left="-90"/>
        <w:rPr>
          <w:lang w:val="en-US"/>
        </w:rPr>
      </w:pPr>
    </w:p>
    <w:p w14:paraId="260354D4" w14:textId="77777777" w:rsidR="007F3A28" w:rsidRPr="00DA5119" w:rsidRDefault="007F3A28" w:rsidP="00DA5119">
      <w:pPr>
        <w:ind w:left="-90"/>
        <w:rPr>
          <w:lang w:val="en-US"/>
        </w:rPr>
      </w:pPr>
    </w:p>
    <w:p w14:paraId="3307617B" w14:textId="2678ED8E" w:rsidR="007F3A28" w:rsidRPr="00DA5119" w:rsidRDefault="007F3A28" w:rsidP="00DA5119">
      <w:pPr>
        <w:ind w:left="-90"/>
        <w:rPr>
          <w:rFonts w:eastAsiaTheme="majorEastAsia" w:cstheme="majorBidi"/>
          <w:b/>
          <w:bCs/>
          <w:color w:val="4F81BD" w:themeColor="accent1"/>
          <w:sz w:val="26"/>
          <w:szCs w:val="26"/>
          <w:lang w:val="en-US"/>
        </w:rPr>
      </w:pPr>
      <w:r w:rsidRPr="00DA5119">
        <w:rPr>
          <w:lang w:val="en-US"/>
        </w:rPr>
        <w:br w:type="page"/>
      </w:r>
    </w:p>
    <w:p w14:paraId="670E4048" w14:textId="2B9BBCBE" w:rsidR="00AB4C29" w:rsidRPr="00DA5119" w:rsidRDefault="00B26B45" w:rsidP="00DA5119">
      <w:pPr>
        <w:pStyle w:val="Heading3"/>
        <w:ind w:left="-90"/>
        <w:rPr>
          <w:rFonts w:asciiTheme="minorHAnsi" w:hAnsiTheme="minorHAnsi"/>
          <w:lang w:val="en-US"/>
        </w:rPr>
      </w:pPr>
      <w:r w:rsidRPr="00DA5119">
        <w:rPr>
          <w:rFonts w:asciiTheme="minorHAnsi" w:hAnsiTheme="minorHAnsi"/>
          <w:lang w:val="en-US"/>
        </w:rPr>
        <w:lastRenderedPageBreak/>
        <w:t xml:space="preserve">S6 </w:t>
      </w:r>
      <w:r w:rsidR="00AB4C29" w:rsidRPr="00DA5119">
        <w:rPr>
          <w:rFonts w:asciiTheme="minorHAnsi" w:hAnsiTheme="minorHAnsi"/>
          <w:lang w:val="en-US"/>
        </w:rPr>
        <w:t xml:space="preserve">HFC emissions in </w:t>
      </w:r>
      <w:r w:rsidR="006F417A" w:rsidRPr="00DA5119">
        <w:rPr>
          <w:rFonts w:asciiTheme="minorHAnsi" w:hAnsiTheme="minorHAnsi"/>
          <w:lang w:val="en-US"/>
        </w:rPr>
        <w:t xml:space="preserve">the </w:t>
      </w:r>
      <w:r w:rsidR="002E155C" w:rsidRPr="00DA5119">
        <w:rPr>
          <w:rFonts w:asciiTheme="minorHAnsi" w:hAnsiTheme="minorHAnsi"/>
          <w:lang w:val="en-US"/>
        </w:rPr>
        <w:t>NDC</w:t>
      </w:r>
      <w:r w:rsidR="006F417A" w:rsidRPr="00DA5119">
        <w:rPr>
          <w:rFonts w:asciiTheme="minorHAnsi" w:hAnsiTheme="minorHAnsi"/>
          <w:lang w:val="en-US"/>
        </w:rPr>
        <w:t xml:space="preserve"> scenario analysis</w:t>
      </w:r>
    </w:p>
    <w:p w14:paraId="27C97471" w14:textId="77777777" w:rsidR="0019137F" w:rsidRPr="00DA5119" w:rsidRDefault="0019137F" w:rsidP="00DA5119">
      <w:pPr>
        <w:ind w:left="-90"/>
        <w:rPr>
          <w:lang w:val="en-US"/>
        </w:rPr>
      </w:pPr>
    </w:p>
    <w:p w14:paraId="2D00F4F5" w14:textId="578B0E93" w:rsidR="00B46D72" w:rsidRPr="00DA5119" w:rsidRDefault="006F417A" w:rsidP="00DA5119">
      <w:pPr>
        <w:pStyle w:val="NoSpacing"/>
        <w:spacing w:line="276" w:lineRule="auto"/>
        <w:ind w:left="-90"/>
        <w:jc w:val="both"/>
        <w:rPr>
          <w:lang w:val="en-US"/>
        </w:rPr>
      </w:pPr>
      <w:r w:rsidRPr="00DA5119">
        <w:rPr>
          <w:lang w:val="en-US"/>
        </w:rPr>
        <w:t>Figure S</w:t>
      </w:r>
      <w:r w:rsidR="00B26B45" w:rsidRPr="00DA5119">
        <w:rPr>
          <w:lang w:val="en-US"/>
        </w:rPr>
        <w:t>6.1</w:t>
      </w:r>
      <w:r w:rsidRPr="00DA5119">
        <w:rPr>
          <w:lang w:val="en-US"/>
        </w:rPr>
        <w:t xml:space="preserve"> shows the HFC emission pathways for the models that ran the additional HFC reduction scenario (</w:t>
      </w:r>
      <w:r w:rsidR="002E155C" w:rsidRPr="00DA5119">
        <w:rPr>
          <w:lang w:val="en-US"/>
        </w:rPr>
        <w:t>NDC</w:t>
      </w:r>
      <w:r w:rsidRPr="00DA5119">
        <w:rPr>
          <w:lang w:val="en-US"/>
        </w:rPr>
        <w:t xml:space="preserve">+2DC+SLCF+HFC). </w:t>
      </w:r>
      <w:r w:rsidR="00B46D72" w:rsidRPr="00DA5119">
        <w:rPr>
          <w:lang w:val="en-US"/>
        </w:rPr>
        <w:t>REMIND and AIM have no endogenous representation of strong HFC reduction policies, and have therefore made use of IMAGE projections for HFCs in the 2 degree case.</w:t>
      </w:r>
    </w:p>
    <w:p w14:paraId="69F9E79A" w14:textId="77777777" w:rsidR="00B46D72" w:rsidRPr="00DA5119" w:rsidRDefault="00B46D72" w:rsidP="00DA5119">
      <w:pPr>
        <w:pStyle w:val="NoSpacing"/>
        <w:spacing w:line="276" w:lineRule="auto"/>
        <w:ind w:left="-90"/>
        <w:jc w:val="both"/>
        <w:rPr>
          <w:lang w:val="en-US"/>
        </w:rPr>
      </w:pPr>
    </w:p>
    <w:p w14:paraId="480E2F46" w14:textId="18C21DB2" w:rsidR="006F417A" w:rsidRPr="00DA5119" w:rsidRDefault="006F417A" w:rsidP="00DA5119">
      <w:pPr>
        <w:pStyle w:val="NoSpacing"/>
        <w:spacing w:line="276" w:lineRule="auto"/>
        <w:ind w:left="-90"/>
        <w:jc w:val="both"/>
        <w:rPr>
          <w:lang w:val="en-US"/>
        </w:rPr>
      </w:pPr>
      <w:r w:rsidRPr="00DA5119">
        <w:rPr>
          <w:lang w:val="en-US"/>
        </w:rPr>
        <w:t>Not all scenarios are shown, because of the inherent overlap</w:t>
      </w:r>
      <w:r w:rsidR="002E38F8" w:rsidRPr="00DA5119">
        <w:rPr>
          <w:lang w:val="en-US"/>
        </w:rPr>
        <w:t xml:space="preserve"> in emission profiles between scenarios:</w:t>
      </w:r>
    </w:p>
    <w:p w14:paraId="677BDA93" w14:textId="24AA0FF7" w:rsidR="002E38F8" w:rsidRPr="00DA5119" w:rsidRDefault="00AB4C29" w:rsidP="00DA5119">
      <w:pPr>
        <w:pStyle w:val="NoSpacing"/>
        <w:numPr>
          <w:ilvl w:val="0"/>
          <w:numId w:val="22"/>
        </w:numPr>
        <w:spacing w:line="276" w:lineRule="auto"/>
        <w:ind w:left="-90"/>
        <w:jc w:val="both"/>
        <w:rPr>
          <w:lang w:val="en-US"/>
        </w:rPr>
      </w:pPr>
      <w:r w:rsidRPr="00DA5119">
        <w:rPr>
          <w:lang w:val="en-US"/>
        </w:rPr>
        <w:t>For all models, Reference and Fr</w:t>
      </w:r>
      <w:r w:rsidR="002E38F8" w:rsidRPr="00DA5119">
        <w:rPr>
          <w:lang w:val="en-US"/>
        </w:rPr>
        <w:t>ozen_EF have the same emissions, because only CH</w:t>
      </w:r>
      <w:r w:rsidR="002E38F8" w:rsidRPr="00DA5119">
        <w:rPr>
          <w:vertAlign w:val="subscript"/>
          <w:lang w:val="en-US"/>
        </w:rPr>
        <w:t>4</w:t>
      </w:r>
      <w:r w:rsidR="002E38F8" w:rsidRPr="00DA5119">
        <w:rPr>
          <w:lang w:val="en-US"/>
        </w:rPr>
        <w:t xml:space="preserve"> and BC emission factors have been frozen in the latter scenario. HFC is not affected.</w:t>
      </w:r>
    </w:p>
    <w:p w14:paraId="65FE4638" w14:textId="3B5BC5C0" w:rsidR="002E38F8" w:rsidRPr="00DA5119" w:rsidRDefault="002E38F8" w:rsidP="00DA5119">
      <w:pPr>
        <w:pStyle w:val="NoSpacing"/>
        <w:numPr>
          <w:ilvl w:val="0"/>
          <w:numId w:val="22"/>
        </w:numPr>
        <w:spacing w:line="276" w:lineRule="auto"/>
        <w:ind w:left="-90"/>
        <w:jc w:val="both"/>
        <w:rPr>
          <w:lang w:val="en-US"/>
        </w:rPr>
      </w:pPr>
      <w:r w:rsidRPr="00DA5119">
        <w:rPr>
          <w:lang w:val="en-US"/>
        </w:rPr>
        <w:t xml:space="preserve">HFC emissions in </w:t>
      </w:r>
      <w:r w:rsidR="002E155C" w:rsidRPr="00DA5119">
        <w:rPr>
          <w:lang w:val="en-US"/>
        </w:rPr>
        <w:t>NDC</w:t>
      </w:r>
      <w:r w:rsidRPr="00DA5119">
        <w:rPr>
          <w:lang w:val="en-US"/>
        </w:rPr>
        <w:t>+2DC and</w:t>
      </w:r>
      <w:r w:rsidR="00AB4C29" w:rsidRPr="00DA5119">
        <w:rPr>
          <w:lang w:val="en-US"/>
        </w:rPr>
        <w:t xml:space="preserve"> </w:t>
      </w:r>
      <w:r w:rsidR="002E155C" w:rsidRPr="00DA5119">
        <w:rPr>
          <w:lang w:val="en-US"/>
        </w:rPr>
        <w:t>NDC</w:t>
      </w:r>
      <w:r w:rsidR="00AB4C29" w:rsidRPr="00DA5119">
        <w:rPr>
          <w:lang w:val="en-US"/>
        </w:rPr>
        <w:t xml:space="preserve">+2DC+SLCF </w:t>
      </w:r>
      <w:r w:rsidRPr="00DA5119">
        <w:rPr>
          <w:lang w:val="en-US"/>
        </w:rPr>
        <w:t xml:space="preserve">are the same </w:t>
      </w:r>
      <w:r w:rsidR="00AB4C29" w:rsidRPr="00DA5119">
        <w:rPr>
          <w:lang w:val="en-US"/>
        </w:rPr>
        <w:t>in all cases</w:t>
      </w:r>
      <w:r w:rsidRPr="00DA5119">
        <w:rPr>
          <w:lang w:val="en-US"/>
        </w:rPr>
        <w:t>. Only CH</w:t>
      </w:r>
      <w:r w:rsidRPr="00DA5119">
        <w:rPr>
          <w:vertAlign w:val="subscript"/>
          <w:lang w:val="en-US"/>
        </w:rPr>
        <w:t xml:space="preserve">4 </w:t>
      </w:r>
      <w:r w:rsidRPr="00DA5119">
        <w:rPr>
          <w:lang w:val="en-US"/>
        </w:rPr>
        <w:t>and BC policies form the difference)</w:t>
      </w:r>
    </w:p>
    <w:p w14:paraId="6899FCE7" w14:textId="4264C2E2" w:rsidR="00AB4C29" w:rsidRPr="00DA5119" w:rsidRDefault="002E38F8" w:rsidP="00DA5119">
      <w:pPr>
        <w:pStyle w:val="NoSpacing"/>
        <w:numPr>
          <w:ilvl w:val="0"/>
          <w:numId w:val="22"/>
        </w:numPr>
        <w:spacing w:line="276" w:lineRule="auto"/>
        <w:ind w:left="-90"/>
        <w:jc w:val="both"/>
        <w:rPr>
          <w:lang w:val="en-US"/>
        </w:rPr>
      </w:pPr>
      <w:r w:rsidRPr="00DA5119">
        <w:rPr>
          <w:lang w:val="en-US"/>
        </w:rPr>
        <w:t xml:space="preserve">HFC emissions in </w:t>
      </w:r>
      <w:r w:rsidR="002E155C" w:rsidRPr="00DA5119">
        <w:rPr>
          <w:lang w:val="en-US"/>
        </w:rPr>
        <w:t>NDC</w:t>
      </w:r>
      <w:r w:rsidRPr="00DA5119">
        <w:rPr>
          <w:lang w:val="en-US"/>
        </w:rPr>
        <w:t xml:space="preserve"> and </w:t>
      </w:r>
      <w:r w:rsidR="002E155C" w:rsidRPr="00DA5119">
        <w:rPr>
          <w:lang w:val="en-US"/>
        </w:rPr>
        <w:t>NDC</w:t>
      </w:r>
      <w:r w:rsidRPr="00DA5119">
        <w:rPr>
          <w:lang w:val="en-US"/>
        </w:rPr>
        <w:t>+SLCF are the same in all cases. Only CH</w:t>
      </w:r>
      <w:r w:rsidRPr="00DA5119">
        <w:rPr>
          <w:vertAlign w:val="subscript"/>
          <w:lang w:val="en-US"/>
        </w:rPr>
        <w:t xml:space="preserve">4 </w:t>
      </w:r>
      <w:r w:rsidRPr="00DA5119">
        <w:rPr>
          <w:lang w:val="en-US"/>
        </w:rPr>
        <w:t>and BC policies form the difference)</w:t>
      </w:r>
    </w:p>
    <w:p w14:paraId="60828972" w14:textId="26B9FF2B" w:rsidR="00AB4C29" w:rsidRPr="00DA5119" w:rsidRDefault="00AB4C29" w:rsidP="00DA5119">
      <w:pPr>
        <w:ind w:left="-90"/>
        <w:rPr>
          <w:rFonts w:eastAsiaTheme="majorEastAsia" w:cstheme="majorBidi"/>
          <w:b/>
          <w:bCs/>
          <w:color w:val="4F81BD" w:themeColor="accent1"/>
          <w:sz w:val="26"/>
          <w:szCs w:val="26"/>
          <w:lang w:val="en-US"/>
        </w:rPr>
      </w:pPr>
    </w:p>
    <w:p w14:paraId="01C0D9AF" w14:textId="77777777" w:rsidR="00AF0C3F" w:rsidRPr="00DA5119" w:rsidRDefault="00AF0C3F" w:rsidP="00DA5119">
      <w:pPr>
        <w:ind w:left="-90"/>
        <w:rPr>
          <w:b/>
          <w:lang w:val="en-US"/>
        </w:rPr>
      </w:pPr>
      <w:r w:rsidRPr="00DA5119">
        <w:rPr>
          <w:b/>
          <w:lang w:val="en-US"/>
        </w:rPr>
        <w:br w:type="page"/>
      </w:r>
    </w:p>
    <w:p w14:paraId="6601B820" w14:textId="7C880891" w:rsidR="00054DF6" w:rsidRPr="00DA5119" w:rsidRDefault="00B26B45" w:rsidP="00DA5119">
      <w:pPr>
        <w:ind w:left="-90"/>
        <w:rPr>
          <w:b/>
          <w:noProof/>
          <w:sz w:val="20"/>
          <w:szCs w:val="20"/>
          <w:lang w:val="en-US"/>
        </w:rPr>
      </w:pPr>
      <w:r w:rsidRPr="00DA5119">
        <w:rPr>
          <w:b/>
          <w:sz w:val="20"/>
          <w:szCs w:val="20"/>
          <w:lang w:val="en-US"/>
        </w:rPr>
        <w:lastRenderedPageBreak/>
        <w:t>Figure S6.1</w:t>
      </w:r>
      <w:r w:rsidR="00054DF6" w:rsidRPr="00DA5119">
        <w:rPr>
          <w:b/>
          <w:sz w:val="20"/>
          <w:szCs w:val="20"/>
          <w:lang w:val="en-US"/>
        </w:rPr>
        <w:t>:</w:t>
      </w:r>
      <w:r w:rsidR="00054DF6" w:rsidRPr="00DA5119">
        <w:rPr>
          <w:sz w:val="20"/>
          <w:szCs w:val="20"/>
          <w:lang w:val="en-US"/>
        </w:rPr>
        <w:t xml:space="preserve"> HFC emission pathways (Only shown for the models that submitted </w:t>
      </w:r>
      <w:r w:rsidR="002E155C" w:rsidRPr="00DA5119">
        <w:rPr>
          <w:noProof/>
          <w:sz w:val="20"/>
          <w:szCs w:val="20"/>
          <w:lang w:val="en-US"/>
        </w:rPr>
        <w:t>NDC</w:t>
      </w:r>
      <w:r w:rsidR="00054DF6" w:rsidRPr="00DA5119">
        <w:rPr>
          <w:noProof/>
          <w:sz w:val="20"/>
          <w:szCs w:val="20"/>
          <w:lang w:val="en-US"/>
        </w:rPr>
        <w:t>+2DC+SLCF+HFC)</w:t>
      </w:r>
    </w:p>
    <w:p w14:paraId="07389750" w14:textId="2D50712C" w:rsidR="009626AD" w:rsidRPr="00DA5119" w:rsidRDefault="000144F4" w:rsidP="00DA5119">
      <w:pPr>
        <w:ind w:left="-90"/>
        <w:rPr>
          <w:lang w:val="en-US"/>
        </w:rPr>
      </w:pPr>
      <w:r w:rsidRPr="00DA5119">
        <w:rPr>
          <w:noProof/>
          <w:lang w:val="nl-NL" w:eastAsia="nl-NL"/>
        </w:rPr>
        <w:drawing>
          <wp:inline distT="0" distB="0" distL="0" distR="0" wp14:anchorId="567F44AB" wp14:editId="6082C6C0">
            <wp:extent cx="5760720" cy="687282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872828"/>
                    </a:xfrm>
                    <a:prstGeom prst="rect">
                      <a:avLst/>
                    </a:prstGeom>
                    <a:noFill/>
                    <a:ln>
                      <a:noFill/>
                    </a:ln>
                  </pic:spPr>
                </pic:pic>
              </a:graphicData>
            </a:graphic>
          </wp:inline>
        </w:drawing>
      </w:r>
    </w:p>
    <w:p w14:paraId="3714F679" w14:textId="418D9342" w:rsidR="00CC6F1F" w:rsidRPr="00DA5119" w:rsidRDefault="009626AD" w:rsidP="00DA5119">
      <w:pPr>
        <w:ind w:left="-90"/>
        <w:rPr>
          <w:lang w:val="en-US"/>
        </w:rPr>
      </w:pPr>
      <w:r w:rsidRPr="00DA5119">
        <w:rPr>
          <w:lang w:val="en-US"/>
        </w:rPr>
        <w:br w:type="page"/>
      </w:r>
    </w:p>
    <w:p w14:paraId="1A6F794F" w14:textId="6810B427" w:rsidR="009626AD" w:rsidRPr="00DA5119" w:rsidRDefault="00B26B45" w:rsidP="00DA5119">
      <w:pPr>
        <w:pStyle w:val="Heading3"/>
        <w:ind w:left="-90"/>
        <w:rPr>
          <w:rFonts w:asciiTheme="minorHAnsi" w:hAnsiTheme="minorHAnsi"/>
          <w:lang w:val="en-US"/>
        </w:rPr>
      </w:pPr>
      <w:r w:rsidRPr="00DA5119">
        <w:rPr>
          <w:rFonts w:asciiTheme="minorHAnsi" w:hAnsiTheme="minorHAnsi"/>
          <w:lang w:val="en-US"/>
        </w:rPr>
        <w:lastRenderedPageBreak/>
        <w:t xml:space="preserve">S7 </w:t>
      </w:r>
      <w:r w:rsidR="00CC6F1F" w:rsidRPr="00DA5119">
        <w:rPr>
          <w:rFonts w:asciiTheme="minorHAnsi" w:hAnsiTheme="minorHAnsi"/>
          <w:lang w:val="en-US"/>
        </w:rPr>
        <w:t xml:space="preserve">Model specific radiative forcing decrease from SLCF policy in </w:t>
      </w:r>
      <w:r w:rsidR="002E155C" w:rsidRPr="00DA5119">
        <w:rPr>
          <w:rFonts w:asciiTheme="minorHAnsi" w:hAnsiTheme="minorHAnsi"/>
          <w:lang w:val="en-US"/>
        </w:rPr>
        <w:t>NDC</w:t>
      </w:r>
      <w:r w:rsidR="00CC6F1F" w:rsidRPr="00DA5119">
        <w:rPr>
          <w:rFonts w:asciiTheme="minorHAnsi" w:hAnsiTheme="minorHAnsi"/>
          <w:lang w:val="en-US"/>
        </w:rPr>
        <w:t xml:space="preserve"> + 2 dC</w:t>
      </w:r>
    </w:p>
    <w:p w14:paraId="765C4D58" w14:textId="77777777" w:rsidR="008F7DEF" w:rsidRPr="00DA5119" w:rsidRDefault="008F7DEF" w:rsidP="00DA5119">
      <w:pPr>
        <w:pStyle w:val="CommentText"/>
        <w:ind w:left="-90"/>
      </w:pPr>
    </w:p>
    <w:p w14:paraId="24122279" w14:textId="2C1ECDF3" w:rsidR="008F7DEF" w:rsidRPr="00DA5119" w:rsidRDefault="00B26B45" w:rsidP="00DA5119">
      <w:pPr>
        <w:pStyle w:val="CommentText"/>
        <w:spacing w:line="276" w:lineRule="auto"/>
        <w:ind w:left="-90"/>
        <w:jc w:val="both"/>
        <w:rPr>
          <w:sz w:val="22"/>
          <w:szCs w:val="22"/>
        </w:rPr>
      </w:pPr>
      <w:r w:rsidRPr="00DA5119">
        <w:rPr>
          <w:sz w:val="22"/>
          <w:szCs w:val="22"/>
        </w:rPr>
        <w:t>Figure S7.1</w:t>
      </w:r>
      <w:r w:rsidR="008F7DEF" w:rsidRPr="00DA5119">
        <w:rPr>
          <w:sz w:val="22"/>
          <w:szCs w:val="22"/>
        </w:rPr>
        <w:t xml:space="preserve"> shows the forcer specific radiative forcing reduction resulting from SLCF policy in the </w:t>
      </w:r>
      <w:r w:rsidR="002E155C" w:rsidRPr="00DA5119">
        <w:rPr>
          <w:sz w:val="22"/>
          <w:szCs w:val="22"/>
        </w:rPr>
        <w:t>NDC</w:t>
      </w:r>
      <w:r w:rsidR="0038500F" w:rsidRPr="00DA5119">
        <w:rPr>
          <w:sz w:val="22"/>
          <w:szCs w:val="22"/>
        </w:rPr>
        <w:t xml:space="preserve">+2degC </w:t>
      </w:r>
      <w:r w:rsidR="008F7DEF" w:rsidRPr="00DA5119">
        <w:rPr>
          <w:sz w:val="22"/>
          <w:szCs w:val="22"/>
        </w:rPr>
        <w:t xml:space="preserve"> scenario for all the models that included HFC measures. Model differences in CH</w:t>
      </w:r>
      <w:r w:rsidR="008F7DEF" w:rsidRPr="00DA5119">
        <w:rPr>
          <w:sz w:val="22"/>
          <w:szCs w:val="22"/>
          <w:vertAlign w:val="subscript"/>
        </w:rPr>
        <w:t>4</w:t>
      </w:r>
      <w:r w:rsidR="008F7DEF" w:rsidRPr="00DA5119">
        <w:rPr>
          <w:sz w:val="22"/>
          <w:szCs w:val="22"/>
        </w:rPr>
        <w:t xml:space="preserve"> and HFC result from different assumptions on mitigation potentials and included measurers as explained in the main text. For BC, this is a bit more complicated. From the figures, the effect of BC reduction seems smaller than perhaps could be expected. Partly, this can result from suboptimal BC/OC reduction ratios (reducing BC leads to a decrease in forcing, whereas reducing OC leads to an increase). Secondly, aerosol emission reductions (from sulphur, BC, OC and nitrate) decrease the cloud indirect forcing effect. The forcing reduction shown in the graphs is the sum of the BC/OC direct forcing difference and the BC/OC cloud indirect forcing difference. The latter has a negative sign and counteracts the former. While BC reducing measures can lead to a considerable direct forcing decrease, they also lead to a net increase in forcing from clouds.</w:t>
      </w:r>
    </w:p>
    <w:p w14:paraId="66C14E4D" w14:textId="7CF6DFBF" w:rsidR="008F7DEF" w:rsidRPr="00DA5119" w:rsidRDefault="00BE5481" w:rsidP="00DA5119">
      <w:pPr>
        <w:pStyle w:val="CommentText"/>
        <w:spacing w:line="276" w:lineRule="auto"/>
        <w:ind w:left="-90"/>
        <w:jc w:val="both"/>
        <w:rPr>
          <w:sz w:val="22"/>
          <w:szCs w:val="22"/>
        </w:rPr>
      </w:pPr>
      <w:r w:rsidRPr="00DA5119">
        <w:rPr>
          <w:sz w:val="22"/>
          <w:szCs w:val="22"/>
        </w:rPr>
        <w:t>For example, in MESSAG</w:t>
      </w:r>
      <w:r w:rsidR="008F7DEF" w:rsidRPr="00DA5119">
        <w:rPr>
          <w:sz w:val="22"/>
          <w:szCs w:val="22"/>
        </w:rPr>
        <w:t>E, the effect of BC/OC is relatively small. Whilst BC reduction in the SLCF case is considerable, OC reduction is very large as well. Due to large aerosol emission reductions the cloud indirect aerosol forcing is considerably increased, adding up to a small net forcing decrease.</w:t>
      </w:r>
    </w:p>
    <w:p w14:paraId="20E5D1B7" w14:textId="5BA3C596" w:rsidR="008F7DEF" w:rsidRPr="00DA5119" w:rsidRDefault="008F7DEF" w:rsidP="00DA5119">
      <w:pPr>
        <w:pStyle w:val="CommentText"/>
        <w:spacing w:line="276" w:lineRule="auto"/>
        <w:ind w:left="-90"/>
        <w:jc w:val="both"/>
        <w:rPr>
          <w:sz w:val="22"/>
          <w:szCs w:val="22"/>
        </w:rPr>
      </w:pPr>
      <w:r w:rsidRPr="00DA5119">
        <w:rPr>
          <w:sz w:val="22"/>
          <w:szCs w:val="22"/>
        </w:rPr>
        <w:t xml:space="preserve">In DNE21+ the opposite is happening. Here, there is also a very large and sustained difference in BC emissions between </w:t>
      </w:r>
      <w:r w:rsidR="002E155C" w:rsidRPr="00DA5119">
        <w:rPr>
          <w:sz w:val="22"/>
          <w:szCs w:val="22"/>
        </w:rPr>
        <w:t>NDC</w:t>
      </w:r>
      <w:r w:rsidRPr="00DA5119">
        <w:rPr>
          <w:sz w:val="22"/>
          <w:szCs w:val="22"/>
        </w:rPr>
        <w:t xml:space="preserve">+ 2DC and </w:t>
      </w:r>
      <w:r w:rsidR="002E155C" w:rsidRPr="00DA5119">
        <w:rPr>
          <w:sz w:val="22"/>
          <w:szCs w:val="22"/>
        </w:rPr>
        <w:t>NDC</w:t>
      </w:r>
      <w:r w:rsidRPr="00DA5119">
        <w:rPr>
          <w:sz w:val="22"/>
          <w:szCs w:val="22"/>
        </w:rPr>
        <w:t xml:space="preserve">+DC+SLCF. However, OC and other aerosols are mitigated much less, leading to a much smaller change in OC direct and aerosol indirect effect.  </w:t>
      </w:r>
    </w:p>
    <w:p w14:paraId="2BAB28FB" w14:textId="77777777" w:rsidR="008F7DEF" w:rsidRPr="00DA5119" w:rsidRDefault="008F7DEF" w:rsidP="00DA5119">
      <w:pPr>
        <w:pStyle w:val="CommentText"/>
        <w:ind w:left="-90"/>
        <w:jc w:val="both"/>
      </w:pPr>
    </w:p>
    <w:p w14:paraId="25AF1985" w14:textId="77777777" w:rsidR="00CC6F1F" w:rsidRPr="00DA5119" w:rsidRDefault="00CC6F1F" w:rsidP="00DA5119">
      <w:pPr>
        <w:ind w:left="-90"/>
        <w:jc w:val="both"/>
        <w:rPr>
          <w:b/>
        </w:rPr>
      </w:pPr>
    </w:p>
    <w:p w14:paraId="7F2BD663" w14:textId="77777777" w:rsidR="008F7DEF" w:rsidRPr="00DA5119" w:rsidRDefault="008F7DEF" w:rsidP="00DA5119">
      <w:pPr>
        <w:ind w:left="-90"/>
        <w:rPr>
          <w:b/>
          <w:lang w:val="en-US"/>
        </w:rPr>
      </w:pPr>
      <w:r w:rsidRPr="00DA5119">
        <w:rPr>
          <w:b/>
          <w:lang w:val="en-US"/>
        </w:rPr>
        <w:br w:type="page"/>
      </w:r>
    </w:p>
    <w:p w14:paraId="4F4A9CF2" w14:textId="38E9EE34" w:rsidR="00CC6F1F" w:rsidRPr="00DA5119" w:rsidRDefault="00CC6F1F" w:rsidP="00DA5119">
      <w:pPr>
        <w:ind w:left="-90"/>
        <w:rPr>
          <w:rFonts w:eastAsiaTheme="majorEastAsia" w:cstheme="majorBidi"/>
          <w:b/>
          <w:bCs/>
          <w:color w:val="4F81BD" w:themeColor="accent1"/>
          <w:sz w:val="20"/>
          <w:szCs w:val="20"/>
          <w:lang w:val="en-US"/>
        </w:rPr>
      </w:pPr>
      <w:r w:rsidRPr="00DA5119">
        <w:rPr>
          <w:b/>
          <w:sz w:val="20"/>
          <w:szCs w:val="20"/>
          <w:lang w:val="en-US"/>
        </w:rPr>
        <w:lastRenderedPageBreak/>
        <w:t>F</w:t>
      </w:r>
      <w:r w:rsidR="00B26B45" w:rsidRPr="00DA5119">
        <w:rPr>
          <w:b/>
          <w:sz w:val="20"/>
          <w:szCs w:val="20"/>
          <w:lang w:val="en-US"/>
        </w:rPr>
        <w:t>igure S7.1</w:t>
      </w:r>
      <w:r w:rsidRPr="00DA5119">
        <w:rPr>
          <w:b/>
          <w:sz w:val="20"/>
          <w:szCs w:val="20"/>
          <w:lang w:val="en-US"/>
        </w:rPr>
        <w:t>:</w:t>
      </w:r>
      <w:r w:rsidR="002F027B" w:rsidRPr="00DA5119">
        <w:rPr>
          <w:sz w:val="20"/>
          <w:szCs w:val="20"/>
        </w:rPr>
        <w:t xml:space="preserve"> </w:t>
      </w:r>
      <w:r w:rsidR="002F027B" w:rsidRPr="00DA5119">
        <w:rPr>
          <w:sz w:val="20"/>
          <w:szCs w:val="20"/>
          <w:lang w:val="en-US"/>
        </w:rPr>
        <w:t>Model specific radiative forcing decreas</w:t>
      </w:r>
      <w:r w:rsidR="00F05F80" w:rsidRPr="00DA5119">
        <w:rPr>
          <w:sz w:val="20"/>
          <w:szCs w:val="20"/>
          <w:lang w:val="en-US"/>
        </w:rPr>
        <w:t xml:space="preserve">e from SLCF policy in </w:t>
      </w:r>
      <w:r w:rsidR="002E155C" w:rsidRPr="00DA5119">
        <w:rPr>
          <w:sz w:val="20"/>
          <w:szCs w:val="20"/>
        </w:rPr>
        <w:t>NDC</w:t>
      </w:r>
      <w:r w:rsidR="0038500F" w:rsidRPr="00DA5119">
        <w:rPr>
          <w:sz w:val="20"/>
          <w:szCs w:val="20"/>
        </w:rPr>
        <w:t>+2degC</w:t>
      </w:r>
      <w:r w:rsidR="002F027B" w:rsidRPr="00DA5119">
        <w:rPr>
          <w:sz w:val="20"/>
          <w:szCs w:val="20"/>
          <w:lang w:val="en-US"/>
        </w:rPr>
        <w:t xml:space="preserve">. Radiative forcing is disaggregated for the different SLCF species. </w:t>
      </w:r>
    </w:p>
    <w:p w14:paraId="52833C87" w14:textId="7F296589" w:rsidR="00CC6F1F" w:rsidRPr="00DA5119" w:rsidRDefault="001C4446" w:rsidP="00DA5119">
      <w:pPr>
        <w:ind w:left="-90"/>
        <w:rPr>
          <w:rFonts w:eastAsiaTheme="majorEastAsia" w:cstheme="majorBidi"/>
          <w:b/>
          <w:bCs/>
          <w:color w:val="4F81BD" w:themeColor="accent1"/>
          <w:lang w:val="en-US"/>
        </w:rPr>
      </w:pPr>
      <w:r w:rsidRPr="00DA5119">
        <w:rPr>
          <w:noProof/>
          <w:lang w:val="nl-NL" w:eastAsia="nl-NL"/>
        </w:rPr>
        <w:drawing>
          <wp:inline distT="0" distB="0" distL="0" distR="0" wp14:anchorId="53A06672" wp14:editId="55022A39">
            <wp:extent cx="5760720" cy="68805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6880527"/>
                    </a:xfrm>
                    <a:prstGeom prst="rect">
                      <a:avLst/>
                    </a:prstGeom>
                    <a:noFill/>
                    <a:ln>
                      <a:noFill/>
                    </a:ln>
                  </pic:spPr>
                </pic:pic>
              </a:graphicData>
            </a:graphic>
          </wp:inline>
        </w:drawing>
      </w:r>
      <w:r w:rsidR="00CC6F1F" w:rsidRPr="00DA5119">
        <w:rPr>
          <w:lang w:val="en-US"/>
        </w:rPr>
        <w:br w:type="page"/>
      </w:r>
    </w:p>
    <w:p w14:paraId="46D23FB0" w14:textId="002CCA87" w:rsidR="0019137F" w:rsidRPr="00DA5119" w:rsidRDefault="00B26B45" w:rsidP="00DA5119">
      <w:pPr>
        <w:pStyle w:val="Heading3"/>
        <w:ind w:left="-90"/>
        <w:rPr>
          <w:rFonts w:asciiTheme="minorHAnsi" w:hAnsiTheme="minorHAnsi"/>
        </w:rPr>
      </w:pPr>
      <w:r w:rsidRPr="00DA5119">
        <w:rPr>
          <w:rFonts w:asciiTheme="minorHAnsi" w:hAnsiTheme="minorHAnsi"/>
        </w:rPr>
        <w:lastRenderedPageBreak/>
        <w:t xml:space="preserve">S8 </w:t>
      </w:r>
      <w:r w:rsidR="0019137F" w:rsidRPr="00DA5119">
        <w:rPr>
          <w:rFonts w:asciiTheme="minorHAnsi" w:hAnsiTheme="minorHAnsi"/>
        </w:rPr>
        <w:t xml:space="preserve">Assessment of </w:t>
      </w:r>
      <w:r w:rsidR="002E155C" w:rsidRPr="00DA5119">
        <w:rPr>
          <w:rFonts w:asciiTheme="minorHAnsi" w:hAnsiTheme="minorHAnsi"/>
        </w:rPr>
        <w:t>NDC</w:t>
      </w:r>
      <w:r w:rsidR="0019137F" w:rsidRPr="00DA5119">
        <w:rPr>
          <w:rFonts w:asciiTheme="minorHAnsi" w:hAnsiTheme="minorHAnsi"/>
        </w:rPr>
        <w:t>s and national climate plans</w:t>
      </w:r>
    </w:p>
    <w:p w14:paraId="51625B9B" w14:textId="77777777" w:rsidR="00B17952" w:rsidRPr="00DA5119" w:rsidRDefault="00B17952" w:rsidP="00DA5119">
      <w:pPr>
        <w:ind w:left="-90"/>
      </w:pPr>
    </w:p>
    <w:p w14:paraId="1B5C179F" w14:textId="4563F9F3" w:rsidR="0011459A" w:rsidRPr="00DA5119" w:rsidRDefault="0011459A" w:rsidP="00DA5119">
      <w:pPr>
        <w:ind w:left="-90"/>
        <w:jc w:val="both"/>
      </w:pPr>
      <w:r w:rsidRPr="00DA5119">
        <w:t xml:space="preserve">In order to assess the benefit of strong SLCF reduction in addition to the </w:t>
      </w:r>
      <w:r w:rsidR="002E155C" w:rsidRPr="00DA5119">
        <w:t>NDC</w:t>
      </w:r>
      <w:r w:rsidRPr="00DA5119">
        <w:t xml:space="preserve">s, it is crucial to know how much SLCF reduction is already expected to be realized as a result of </w:t>
      </w:r>
      <w:r w:rsidR="002E155C" w:rsidRPr="00DA5119">
        <w:t>NDC</w:t>
      </w:r>
      <w:r w:rsidRPr="00DA5119">
        <w:t xml:space="preserve"> policies. This is however not straightforward. Table </w:t>
      </w:r>
      <w:r w:rsidR="00B26B45" w:rsidRPr="00DA5119">
        <w:t>S8.1</w:t>
      </w:r>
      <w:r w:rsidRPr="00DA5119">
        <w:t xml:space="preserve"> gives an overview of national Non-CO</w:t>
      </w:r>
      <w:r w:rsidRPr="00DA5119">
        <w:rPr>
          <w:vertAlign w:val="subscript"/>
        </w:rPr>
        <w:t>2</w:t>
      </w:r>
      <w:r w:rsidRPr="00DA5119">
        <w:t xml:space="preserve"> GHG policies in the G20 (specifically of the SLCFs: CH</w:t>
      </w:r>
      <w:r w:rsidRPr="00DA5119">
        <w:rPr>
          <w:vertAlign w:val="subscript"/>
        </w:rPr>
        <w:t>4</w:t>
      </w:r>
      <w:r w:rsidRPr="00DA5119">
        <w:t xml:space="preserve">, BC and HFCs). Under their </w:t>
      </w:r>
      <w:r w:rsidR="002E155C" w:rsidRPr="00DA5119">
        <w:t>NDC</w:t>
      </w:r>
      <w:r w:rsidRPr="00DA5119">
        <w:t>s, most G20 countries include non-CO</w:t>
      </w:r>
      <w:r w:rsidRPr="00DA5119">
        <w:rPr>
          <w:vertAlign w:val="subscript"/>
        </w:rPr>
        <w:t>2</w:t>
      </w:r>
      <w:r w:rsidRPr="00DA5119">
        <w:t xml:space="preserve"> GHGs in their economy-wide GHG reduction targets, with the notable exception of China. Most countries, also outside the G20 (not shown), defined their </w:t>
      </w:r>
      <w:r w:rsidR="002E155C" w:rsidRPr="00DA5119">
        <w:t>NDC</w:t>
      </w:r>
      <w:r w:rsidRPr="00DA5119">
        <w:t xml:space="preserve"> targets in terms of total GHG reduced compared to a baseline or base year value</w:t>
      </w:r>
      <w:r w:rsidRPr="00DA5119">
        <w:rPr>
          <w:rStyle w:val="FootnoteReference"/>
        </w:rPr>
        <w:footnoteReference w:id="2"/>
      </w:r>
      <w:r w:rsidRPr="00DA5119">
        <w:t>. However, this does not mean that countries have defined national policies aimed explicitly at reducing non-CO</w:t>
      </w:r>
      <w:r w:rsidRPr="00DA5119">
        <w:rPr>
          <w:vertAlign w:val="subscript"/>
        </w:rPr>
        <w:t xml:space="preserve">2 </w:t>
      </w:r>
      <w:r w:rsidRPr="00DA5119">
        <w:t>gases. In fact, of the G20 countries, only the EU has defined a strong reduction target aimed at mitigating all non-CO</w:t>
      </w:r>
      <w:r w:rsidRPr="00DA5119">
        <w:rPr>
          <w:vertAlign w:val="subscript"/>
        </w:rPr>
        <w:t>2</w:t>
      </w:r>
      <w:r w:rsidRPr="00DA5119">
        <w:t xml:space="preserve"> GHGs. The USA also has relatively stringent targets with respect to CH</w:t>
      </w:r>
      <w:r w:rsidRPr="00DA5119">
        <w:rPr>
          <w:vertAlign w:val="subscript"/>
        </w:rPr>
        <w:t>4</w:t>
      </w:r>
      <w:r w:rsidRPr="00DA5119">
        <w:t xml:space="preserve"> and HFCs (both SLCFs), but has not formulated country wide policies to reduce longer-lived non-CO</w:t>
      </w:r>
      <w:r w:rsidRPr="00DA5119">
        <w:rPr>
          <w:vertAlign w:val="subscript"/>
        </w:rPr>
        <w:t>2</w:t>
      </w:r>
      <w:r w:rsidRPr="00DA5119">
        <w:t xml:space="preserve"> GHGs such as N</w:t>
      </w:r>
      <w:r w:rsidRPr="00DA5119">
        <w:rPr>
          <w:vertAlign w:val="subscript"/>
        </w:rPr>
        <w:t>2</w:t>
      </w:r>
      <w:r w:rsidRPr="00DA5119">
        <w:t>O, PFCs and SF</w:t>
      </w:r>
      <w:r w:rsidRPr="00DA5119">
        <w:rPr>
          <w:vertAlign w:val="subscript"/>
        </w:rPr>
        <w:t>6</w:t>
      </w:r>
      <w:r w:rsidRPr="00DA5119">
        <w:t xml:space="preserve">. Australia and to a much lesser extent China and Japan have policies specifically aimed at reducing HFCs, while Mexico has pledged to significantly reduce BC emissions. Mexico forms an exception in this respect, since BC is not an official offset under the Kyoto protocol, and countries cannot use BC reduction to reach aggregated GHG targets as part of the </w:t>
      </w:r>
      <w:r w:rsidR="002E155C" w:rsidRPr="00DA5119">
        <w:t>NDC</w:t>
      </w:r>
      <w:r w:rsidRPr="00DA5119">
        <w:t>s.</w:t>
      </w:r>
    </w:p>
    <w:p w14:paraId="3702F319" w14:textId="794BFE12" w:rsidR="0011459A" w:rsidRPr="00DA5119" w:rsidRDefault="0011459A" w:rsidP="00DA5119">
      <w:pPr>
        <w:ind w:left="-90"/>
        <w:jc w:val="both"/>
      </w:pPr>
      <w:r w:rsidRPr="00DA5119">
        <w:t xml:space="preserve">While only in some cases HFC reduction has been explicitly anchored in national policies, all countries in the United Nations have agreed to ambitious HFC abatement when this has been incorporated in the Montreal protocol in October 2016 as part of the Kigali Amendment </w:t>
      </w:r>
      <w:r w:rsidRPr="00DA5119">
        <w:fldChar w:fldCharType="begin"/>
      </w:r>
      <w:r w:rsidR="00EF1FA1" w:rsidRPr="00DA5119">
        <w:instrText xml:space="preserve"> ADDIN EN.CITE &lt;EndNote&gt;&lt;Cite&gt;&lt;Author&gt;UNEP&lt;/Author&gt;&lt;Year&gt;2016&lt;/Year&gt;&lt;RecNum&gt;302&lt;/RecNum&gt;&lt;DisplayText&gt;(UNEP, 2016b)&lt;/DisplayText&gt;&lt;record&gt;&lt;rec-number&gt;302&lt;/rec-number&gt;&lt;foreign-keys&gt;&lt;key app="EN" db-id="ewxvdw52e55r2gefrsovdxwk0xrz0v2zfp2s" timestamp="1488300296"&gt;302&lt;/key&gt;&lt;/foreign-keys&gt;&lt;ref-type name="Web Page"&gt;12&lt;/ref-type&gt;&lt;contributors&gt;&lt;authors&gt;&lt;author&gt;UNEP&lt;/author&gt;&lt;/authors&gt;&lt;/contributors&gt;&lt;titles&gt;&lt;title&gt;The Kigali Amendment to the Montreal Protocol: HFC Phase-down&lt;/title&gt;&lt;/titles&gt;&lt;dates&gt;&lt;year&gt;2016&lt;/year&gt;&lt;/dates&gt;&lt;publisher&gt;OzonAction, UN Environment (UNEP), Economy Division &lt;/publisher&gt;&lt;urls&gt;&lt;related-urls&gt;&lt;url&gt;http://www.unep.org/ozonaction/Portals/105/documents/7809-e-Factsheet_Kigali_Amendment_to_MP.pdf.&lt;/url&gt;&lt;/related-urls&gt;&lt;/urls&gt;&lt;/record&gt;&lt;/Cite&gt;&lt;/EndNote&gt;</w:instrText>
      </w:r>
      <w:r w:rsidRPr="00DA5119">
        <w:fldChar w:fldCharType="separate"/>
      </w:r>
      <w:r w:rsidR="00EF1FA1" w:rsidRPr="00DA5119">
        <w:rPr>
          <w:noProof/>
        </w:rPr>
        <w:t>(</w:t>
      </w:r>
      <w:hyperlink w:anchor="_ENREF_44" w:tooltip="UNEP, 2016 #302" w:history="1">
        <w:r w:rsidR="00884561" w:rsidRPr="00DA5119">
          <w:rPr>
            <w:noProof/>
          </w:rPr>
          <w:t>UNEP, 2016b</w:t>
        </w:r>
      </w:hyperlink>
      <w:r w:rsidR="00EF1FA1" w:rsidRPr="00DA5119">
        <w:rPr>
          <w:noProof/>
        </w:rPr>
        <w:t>)</w:t>
      </w:r>
      <w:r w:rsidRPr="00DA5119">
        <w:fldChar w:fldCharType="end"/>
      </w:r>
      <w:r w:rsidRPr="00DA5119">
        <w:t xml:space="preserve">. The successful execution of this amendment would lead to a reduction of 54-58% of the global HFC emissions in 2030 compared to a no policy case </w:t>
      </w:r>
      <w:r w:rsidRPr="00DA5119">
        <w:fldChar w:fldCharType="begin">
          <w:fldData xml:space="preserve">PEVuZE5vdGU+PENpdGU+PEF1dGhvcj5QQkw8L0F1dGhvcj48WWVhcj4yMDE1PC9ZZWFyPjxSZWNO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</w:fldData>
        </w:fldChar>
      </w:r>
      <w:r w:rsidR="00A362F5" w:rsidRPr="00DA5119">
        <w:instrText xml:space="preserve"> ADDIN EN.CITE </w:instrText>
      </w:r>
      <w:r w:rsidR="00A362F5" w:rsidRPr="00DA5119">
        <w:fldChar w:fldCharType="begin">
          <w:fldData xml:space="preserve">PEVuZE5vdGU+PENpdGU+PEF1dGhvcj5QQkw8L0F1dGhvcj48WWVhcj4yMDE1PC9ZZWFyPjxSZWNO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</w:fldData>
        </w:fldChar>
      </w:r>
      <w:r w:rsidR="00A362F5" w:rsidRPr="00DA5119">
        <w:instrText xml:space="preserve"> ADDIN EN.CITE.DATA </w:instrText>
      </w:r>
      <w:r w:rsidR="00A362F5" w:rsidRPr="00DA5119">
        <w:fldChar w:fldCharType="end"/>
      </w:r>
      <w:r w:rsidRPr="00DA5119">
        <w:fldChar w:fldCharType="separate"/>
      </w:r>
      <w:r w:rsidR="00EF1FA1" w:rsidRPr="00DA5119">
        <w:rPr>
          <w:noProof/>
        </w:rPr>
        <w:t>(</w:t>
      </w:r>
      <w:hyperlink w:anchor="_ENREF_19" w:tooltip="Höglund-Isaksson, 2017 #307" w:history="1">
        <w:r w:rsidR="00884561" w:rsidRPr="00DA5119">
          <w:rPr>
            <w:noProof/>
          </w:rPr>
          <w:t>Höglund-Isaksson et al., 2017</w:t>
        </w:r>
      </w:hyperlink>
      <w:r w:rsidR="00EF1FA1" w:rsidRPr="00DA5119">
        <w:rPr>
          <w:noProof/>
        </w:rPr>
        <w:t xml:space="preserve">; </w:t>
      </w:r>
      <w:hyperlink w:anchor="_ENREF_24" w:tooltip="PBL, 2015 #303" w:history="1">
        <w:r w:rsidR="00884561" w:rsidRPr="00DA5119">
          <w:rPr>
            <w:noProof/>
          </w:rPr>
          <w:t>PBL, 2015</w:t>
        </w:r>
      </w:hyperlink>
      <w:r w:rsidR="00EF1FA1" w:rsidRPr="00DA5119">
        <w:rPr>
          <w:noProof/>
        </w:rPr>
        <w:t xml:space="preserve">; </w:t>
      </w:r>
      <w:hyperlink w:anchor="_ENREF_26" w:tooltip="Purohit, 2017 #308" w:history="1">
        <w:r w:rsidR="00884561" w:rsidRPr="00DA5119">
          <w:rPr>
            <w:noProof/>
          </w:rPr>
          <w:t>Purohit and Höglund-Isaksson, 2017</w:t>
        </w:r>
      </w:hyperlink>
      <w:r w:rsidR="00EF1FA1" w:rsidRPr="00DA5119">
        <w:rPr>
          <w:noProof/>
        </w:rPr>
        <w:t>)</w:t>
      </w:r>
      <w:r w:rsidRPr="00DA5119">
        <w:fldChar w:fldCharType="end"/>
      </w:r>
      <w:r w:rsidRPr="00DA5119">
        <w:t xml:space="preserve">(see </w:t>
      </w:r>
      <w:r w:rsidR="00C30165" w:rsidRPr="00DA5119">
        <w:rPr>
          <w:color w:val="0070C0"/>
        </w:rPr>
        <w:t>supplement</w:t>
      </w:r>
      <w:r w:rsidR="00E03F8C" w:rsidRPr="00DA5119">
        <w:rPr>
          <w:color w:val="0070C0"/>
        </w:rPr>
        <w:t xml:space="preserve"> S2</w:t>
      </w:r>
      <w:r w:rsidRPr="00DA5119">
        <w:t xml:space="preserve">). This implies that even in the context of the current </w:t>
      </w:r>
      <w:r w:rsidR="002E155C" w:rsidRPr="00DA5119">
        <w:t>NDC</w:t>
      </w:r>
      <w:r w:rsidRPr="00DA5119">
        <w:t>s, there could potentially be a large reduction of HFCs. As the model assessment will show, there is however still a potential for further HFC emission reduction.</w:t>
      </w:r>
    </w:p>
    <w:p w14:paraId="0734D2BD" w14:textId="6665747D" w:rsidR="0011459A" w:rsidRPr="00DA5119" w:rsidRDefault="0011459A" w:rsidP="00DA5119">
      <w:pPr>
        <w:pStyle w:val="NoSpacing"/>
        <w:spacing w:line="276" w:lineRule="auto"/>
        <w:ind w:left="-90"/>
        <w:jc w:val="both"/>
      </w:pPr>
      <w:r w:rsidRPr="00DA5119">
        <w:t xml:space="preserve">In this study’s scenario analysis, the models follow a least-cost approach in implementing the </w:t>
      </w:r>
      <w:r w:rsidR="002E155C" w:rsidRPr="00DA5119">
        <w:t>NDC</w:t>
      </w:r>
      <w:r w:rsidRPr="00DA5119">
        <w:t xml:space="preserve"> targets. In this interpretation, there is a significant role for non-CO</w:t>
      </w:r>
      <w:r w:rsidRPr="00DA5119">
        <w:rPr>
          <w:vertAlign w:val="subscript"/>
        </w:rPr>
        <w:t>2</w:t>
      </w:r>
      <w:r w:rsidRPr="00DA5119">
        <w:t xml:space="preserve"> emission reduction as a result of the relatively low costs for the first abatement measures for non-CO</w:t>
      </w:r>
      <w:r w:rsidRPr="00DA5119">
        <w:rPr>
          <w:vertAlign w:val="subscript"/>
        </w:rPr>
        <w:t>2</w:t>
      </w:r>
      <w:r w:rsidRPr="00DA5119">
        <w:t xml:space="preserve"> gases </w:t>
      </w:r>
      <w:r w:rsidRPr="00DA5119">
        <w:fldChar w:fldCharType="begin"/>
      </w:r>
      <w:r w:rsidR="00EF1FA1" w:rsidRPr="00DA5119">
        <w:instrText xml:space="preserve"> ADDIN EN.CITE &lt;EndNote&gt;&lt;Cite&gt;&lt;Author&gt;van Vuuren&lt;/Author&gt;&lt;Year&gt;2006&lt;/Year&gt;&lt;RecNum&gt;236&lt;/RecNum&gt;&lt;DisplayText&gt;(van Vuuren et al., 2006)&lt;/DisplayText&gt;&lt;record&gt;&lt;rec-number&gt;236&lt;/rec-number&gt;&lt;foreign-keys&gt;&lt;key app="EN" db-id="ewxvdw52e55r2gefrsovdxwk0xrz0v2zfp2s" timestamp="1397744681"&gt;236&lt;/key&gt;&lt;/foreign-keys&gt;&lt;ref-type name="Journal Article"&gt;17&lt;/ref-type&gt;&lt;contributors&gt;&lt;authors&gt;&lt;author&gt;van Vuuren, Detlef P.&lt;/author&gt;&lt;author&gt;Weyant, John&lt;/author&gt;&lt;author&gt;de la Chesnaye, Francisco&lt;/author&gt;&lt;/authors&gt;&lt;/contributors&gt;&lt;titles&gt;&lt;title&gt;Multi-gas scenarios to stabilize radiative forcing&lt;/title&gt;&lt;secondary-title&gt;Energy Economics&lt;/secondary-title&gt;&lt;/titles&gt;&lt;periodical&gt;&lt;full-title&gt;Energy Economics&lt;/full-title&gt;&lt;/periodical&gt;&lt;pages&gt;102-120&lt;/pages&gt;&lt;volume&gt;28&lt;/volume&gt;&lt;number&gt;1&lt;/number&gt;&lt;dates&gt;&lt;year&gt;2006&lt;/year&gt;&lt;/dates&gt;&lt;isbn&gt;01409883&lt;/isbn&gt;&lt;urls&gt;&lt;/urls&gt;&lt;electronic-resource-num&gt;10.1016/j.eneco.2005.10.003&lt;/electronic-resource-num&gt;&lt;/record&gt;&lt;/Cite&gt;&lt;/EndNote&gt;</w:instrText>
      </w:r>
      <w:r w:rsidRPr="00DA5119">
        <w:fldChar w:fldCharType="separate"/>
      </w:r>
      <w:r w:rsidR="00EF1FA1" w:rsidRPr="00DA5119">
        <w:rPr>
          <w:noProof/>
        </w:rPr>
        <w:t>(</w:t>
      </w:r>
      <w:hyperlink w:anchor="_ENREF_51" w:tooltip="van Vuuren, 2006 #236" w:history="1">
        <w:r w:rsidR="00884561" w:rsidRPr="00DA5119">
          <w:rPr>
            <w:noProof/>
          </w:rPr>
          <w:t>van Vuuren et al., 2006</w:t>
        </w:r>
      </w:hyperlink>
      <w:r w:rsidR="00EF1FA1" w:rsidRPr="00DA5119">
        <w:rPr>
          <w:noProof/>
        </w:rPr>
        <w:t>)</w:t>
      </w:r>
      <w:r w:rsidRPr="00DA5119">
        <w:fldChar w:fldCharType="end"/>
      </w:r>
      <w:r w:rsidRPr="00DA5119">
        <w:t>. If countries would limit non-CO</w:t>
      </w:r>
      <w:r w:rsidRPr="00DA5119">
        <w:rPr>
          <w:vertAlign w:val="subscript"/>
        </w:rPr>
        <w:t>2</w:t>
      </w:r>
      <w:r w:rsidRPr="00DA5119">
        <w:t xml:space="preserve"> mitigation to implementing their currently formulated national policies, non-CO</w:t>
      </w:r>
      <w:r w:rsidRPr="00DA5119">
        <w:rPr>
          <w:vertAlign w:val="subscript"/>
        </w:rPr>
        <w:t>2</w:t>
      </w:r>
      <w:r w:rsidRPr="00DA5119">
        <w:t xml:space="preserve"> (particularly CH</w:t>
      </w:r>
      <w:r w:rsidRPr="00DA5119">
        <w:rPr>
          <w:vertAlign w:val="subscript"/>
        </w:rPr>
        <w:t>4</w:t>
      </w:r>
      <w:r w:rsidRPr="00DA5119">
        <w:t xml:space="preserve">) emission reduction would play a much smaller role in reaching their </w:t>
      </w:r>
      <w:r w:rsidR="002E155C" w:rsidRPr="00DA5119">
        <w:t>NDC</w:t>
      </w:r>
      <w:r w:rsidRPr="00DA5119">
        <w:t xml:space="preserve"> target. The </w:t>
      </w:r>
      <w:r w:rsidR="002E155C" w:rsidRPr="00DA5119">
        <w:t>NDC</w:t>
      </w:r>
      <w:r w:rsidRPr="00DA5119">
        <w:t xml:space="preserve"> scenarios in this scenario could in such case be considered ambitious with respect to CH</w:t>
      </w:r>
      <w:r w:rsidRPr="00DA5119">
        <w:rPr>
          <w:vertAlign w:val="subscript"/>
        </w:rPr>
        <w:t>4</w:t>
      </w:r>
      <w:r w:rsidRPr="00DA5119">
        <w:t xml:space="preserve"> mitigation, and the additional benefit of SLCF policy could potentially be higher if countries focus more on CO</w:t>
      </w:r>
      <w:r w:rsidRPr="00DA5119">
        <w:rPr>
          <w:vertAlign w:val="subscript"/>
        </w:rPr>
        <w:t>2</w:t>
      </w:r>
      <w:r w:rsidRPr="00DA5119">
        <w:t>. The implications of this uncertainty in CH</w:t>
      </w:r>
      <w:r w:rsidRPr="00DA5119">
        <w:rPr>
          <w:vertAlign w:val="subscript"/>
        </w:rPr>
        <w:t>4</w:t>
      </w:r>
      <w:r w:rsidRPr="00DA5119">
        <w:t xml:space="preserve"> emission reduction are assessed in a sensitivity analysis that is described in the discussion.</w:t>
      </w:r>
    </w:p>
    <w:p w14:paraId="1085492C" w14:textId="77777777" w:rsidR="0011459A" w:rsidRPr="00DA5119" w:rsidRDefault="0011459A" w:rsidP="00DA5119">
      <w:pPr>
        <w:pStyle w:val="NoSpacing"/>
        <w:ind w:left="-90"/>
      </w:pPr>
    </w:p>
    <w:p w14:paraId="6454CC69" w14:textId="77777777" w:rsidR="0011459A" w:rsidRPr="00DA5119" w:rsidRDefault="0011459A" w:rsidP="00DA5119">
      <w:pPr>
        <w:pStyle w:val="CommentText"/>
        <w:ind w:left="-90"/>
      </w:pPr>
    </w:p>
    <w:p w14:paraId="2432D786" w14:textId="77777777" w:rsidR="0011459A" w:rsidRPr="00DA5119" w:rsidRDefault="0011459A" w:rsidP="00DA5119">
      <w:pPr>
        <w:pStyle w:val="CommentText"/>
        <w:ind w:left="-90"/>
      </w:pPr>
    </w:p>
    <w:p w14:paraId="4D83016D" w14:textId="77777777" w:rsidR="0011459A" w:rsidRPr="00DA5119" w:rsidRDefault="0011459A" w:rsidP="00DA5119">
      <w:pPr>
        <w:ind w:left="-90"/>
        <w:rPr>
          <w:sz w:val="20"/>
          <w:szCs w:val="20"/>
        </w:rPr>
      </w:pPr>
      <w:r w:rsidRPr="00DA5119">
        <w:rPr>
          <w:sz w:val="20"/>
          <w:szCs w:val="20"/>
        </w:rPr>
        <w:br w:type="page"/>
      </w:r>
    </w:p>
    <w:p w14:paraId="35DA92F5" w14:textId="22F63E53" w:rsidR="0011459A" w:rsidRPr="00DA5119" w:rsidRDefault="00B26B45" w:rsidP="00DA5119">
      <w:pPr>
        <w:pStyle w:val="NoSpacing"/>
        <w:ind w:left="-90"/>
        <w:rPr>
          <w:sz w:val="20"/>
          <w:szCs w:val="20"/>
        </w:rPr>
      </w:pPr>
      <w:r w:rsidRPr="00DA5119">
        <w:rPr>
          <w:b/>
          <w:sz w:val="20"/>
          <w:szCs w:val="20"/>
        </w:rPr>
        <w:lastRenderedPageBreak/>
        <w:t>Table S8.1</w:t>
      </w:r>
      <w:r w:rsidR="0011459A" w:rsidRPr="00DA5119">
        <w:rPr>
          <w:sz w:val="20"/>
          <w:szCs w:val="20"/>
        </w:rPr>
        <w:t>: Non-CO</w:t>
      </w:r>
      <w:r w:rsidR="0011459A" w:rsidRPr="00DA5119">
        <w:rPr>
          <w:sz w:val="20"/>
          <w:szCs w:val="20"/>
          <w:vertAlign w:val="subscript"/>
        </w:rPr>
        <w:t>2</w:t>
      </w:r>
      <w:r w:rsidR="0011459A" w:rsidRPr="00DA5119">
        <w:rPr>
          <w:sz w:val="20"/>
          <w:szCs w:val="20"/>
        </w:rPr>
        <w:t xml:space="preserve"> GHG policies in the G20 country national plans. The first column specifies which GHGs are included in the </w:t>
      </w:r>
      <w:r w:rsidR="002E155C" w:rsidRPr="00DA5119">
        <w:rPr>
          <w:sz w:val="20"/>
          <w:szCs w:val="20"/>
        </w:rPr>
        <w:t>NDC</w:t>
      </w:r>
      <w:r w:rsidR="0011459A" w:rsidRPr="00DA5119">
        <w:rPr>
          <w:sz w:val="20"/>
          <w:szCs w:val="20"/>
        </w:rPr>
        <w:t xml:space="preserve"> targets (“All” means that there is explicit mention of all relevant GHG groups under the Kyoto protocol), the second column shows which non-CO</w:t>
      </w:r>
      <w:r w:rsidR="0011459A" w:rsidRPr="00DA5119">
        <w:rPr>
          <w:sz w:val="20"/>
          <w:szCs w:val="20"/>
          <w:vertAlign w:val="subscript"/>
        </w:rPr>
        <w:t>2</w:t>
      </w:r>
      <w:r w:rsidR="0011459A" w:rsidRPr="00DA5119">
        <w:rPr>
          <w:sz w:val="20"/>
          <w:szCs w:val="20"/>
        </w:rPr>
        <w:t xml:space="preserve"> reducing policies are explicitly mentioned in the countries’ national plans. Based on datasets from: </w:t>
      </w:r>
      <w:r w:rsidR="0011459A" w:rsidRPr="00DA5119">
        <w:rPr>
          <w:sz w:val="20"/>
          <w:szCs w:val="20"/>
        </w:rPr>
        <w:fldChar w:fldCharType="begin"/>
      </w:r>
      <w:r w:rsidR="00EF1FA1" w:rsidRPr="00DA5119">
        <w:rPr>
          <w:sz w:val="20"/>
          <w:szCs w:val="20"/>
        </w:rPr>
        <w:instrText xml:space="preserve"> ADDIN EN.CITE &lt;EndNote&gt;&lt;Cite&gt;&lt;Author&gt;Den Elzen&lt;/Author&gt;&lt;Year&gt;2016&lt;/Year&gt;&lt;RecNum&gt;294&lt;/RecNum&gt;&lt;DisplayText&gt;(Den Elzen et al., 2016)&lt;/DisplayText&gt;&lt;record&gt;&lt;rec-number&gt;294&lt;/rec-number&gt;&lt;foreign-keys&gt;&lt;key app="EN" db-id="ewxvdw52e55r2gefrsovdxwk0xrz0v2zfp2s" timestamp="1478791190"&gt;294&lt;/key&gt;&lt;/foreign-keys&gt;&lt;ref-type name="Journal Article"&gt;17&lt;/ref-type&gt;&lt;contributors&gt;&lt;authors&gt;&lt;author&gt;Den Elzen, Michel &lt;/author&gt;&lt;author&gt;Admiraal, Annemiek &lt;/author&gt;&lt;author&gt;Roelfsema, Mark &lt;/author&gt;&lt;author&gt;Van Soest, Heleen&lt;/author&gt;&lt;author&gt;Hof, Andries F. &lt;/author&gt;&lt;author&gt;Forsell, Nicklas &lt;/author&gt;&lt;/authors&gt;&lt;/contributors&gt;&lt;titles&gt;&lt;title&gt;Contribution of the G20 economies to the global impact of the Paris agreement climate proposals&lt;/title&gt;&lt;secondary-title&gt;Climatic Change&lt;/secondary-title&gt;&lt;/titles&gt;&lt;periodical&gt;&lt;full-title&gt;Climatic Change&lt;/full-title&gt;&lt;/periodical&gt;&lt;pages&gt;655-656&lt;/pages&gt;&lt;volume&gt;137&lt;/volume&gt;&lt;dates&gt;&lt;year&gt;2016&lt;/year&gt;&lt;/dates&gt;&lt;urls&gt;&lt;/urls&gt;&lt;/record&gt;&lt;/Cite&gt;&lt;/EndNote&gt;</w:instrText>
      </w:r>
      <w:r w:rsidR="0011459A" w:rsidRPr="00DA5119">
        <w:rPr>
          <w:sz w:val="20"/>
          <w:szCs w:val="20"/>
        </w:rPr>
        <w:fldChar w:fldCharType="separate"/>
      </w:r>
      <w:r w:rsidR="00EF1FA1" w:rsidRPr="00DA5119">
        <w:rPr>
          <w:noProof/>
          <w:sz w:val="20"/>
          <w:szCs w:val="20"/>
        </w:rPr>
        <w:t>(</w:t>
      </w:r>
      <w:hyperlink w:anchor="_ENREF_7" w:tooltip="Den Elzen, 2016 #294" w:history="1">
        <w:r w:rsidR="00884561" w:rsidRPr="00DA5119">
          <w:rPr>
            <w:noProof/>
            <w:sz w:val="20"/>
            <w:szCs w:val="20"/>
          </w:rPr>
          <w:t>Den Elzen et al., 2016</w:t>
        </w:r>
      </w:hyperlink>
      <w:r w:rsidR="00EF1FA1" w:rsidRPr="00DA5119">
        <w:rPr>
          <w:noProof/>
          <w:sz w:val="20"/>
          <w:szCs w:val="20"/>
        </w:rPr>
        <w:t>)</w:t>
      </w:r>
      <w:r w:rsidR="0011459A" w:rsidRPr="00DA5119">
        <w:rPr>
          <w:sz w:val="20"/>
          <w:szCs w:val="20"/>
        </w:rPr>
        <w:fldChar w:fldCharType="end"/>
      </w:r>
    </w:p>
    <w:tbl>
      <w:tblPr>
        <w:tblStyle w:val="LightShading-Accent1"/>
        <w:tblW w:w="0" w:type="auto"/>
        <w:tblLook w:val="04A0" w:firstRow="1" w:lastRow="0" w:firstColumn="1" w:lastColumn="0" w:noHBand="0" w:noVBand="1"/>
      </w:tblPr>
      <w:tblGrid>
        <w:gridCol w:w="2660"/>
        <w:gridCol w:w="1946"/>
        <w:gridCol w:w="4433"/>
      </w:tblGrid>
      <w:tr w:rsidR="0011459A" w:rsidRPr="00DA5119" w14:paraId="0CEB373E" w14:textId="77777777" w:rsidTr="00C81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D448B1C" w14:textId="77777777" w:rsidR="0011459A" w:rsidRPr="00DA5119" w:rsidRDefault="0011459A" w:rsidP="00DA5119">
            <w:pPr>
              <w:ind w:left="-90"/>
            </w:pPr>
          </w:p>
        </w:tc>
        <w:tc>
          <w:tcPr>
            <w:tcW w:w="1946" w:type="dxa"/>
          </w:tcPr>
          <w:p w14:paraId="69997D4C" w14:textId="53FCEADE" w:rsidR="0011459A" w:rsidRPr="00DA5119" w:rsidRDefault="002E155C" w:rsidP="00DA5119">
            <w:pPr>
              <w:ind w:left="-90"/>
              <w:cnfStyle w:val="100000000000" w:firstRow="1" w:lastRow="0" w:firstColumn="0" w:lastColumn="0" w:oddVBand="0" w:evenVBand="0" w:oddHBand="0" w:evenHBand="0" w:firstRowFirstColumn="0" w:firstRowLastColumn="0" w:lastRowFirstColumn="0" w:lastRowLastColumn="0"/>
            </w:pPr>
            <w:r w:rsidRPr="00DA5119">
              <w:t>NDC</w:t>
            </w:r>
            <w:r w:rsidR="0011459A" w:rsidRPr="00DA5119">
              <w:t>s</w:t>
            </w:r>
          </w:p>
        </w:tc>
        <w:tc>
          <w:tcPr>
            <w:tcW w:w="4433" w:type="dxa"/>
          </w:tcPr>
          <w:p w14:paraId="4068BB6E" w14:textId="77777777" w:rsidR="0011459A" w:rsidRPr="00DA5119" w:rsidRDefault="0011459A" w:rsidP="00DA5119">
            <w:pPr>
              <w:ind w:left="-90"/>
              <w:cnfStyle w:val="100000000000" w:firstRow="1" w:lastRow="0" w:firstColumn="0" w:lastColumn="0" w:oddVBand="0" w:evenVBand="0" w:oddHBand="0" w:evenHBand="0" w:firstRowFirstColumn="0" w:firstRowLastColumn="0" w:lastRowFirstColumn="0" w:lastRowLastColumn="0"/>
            </w:pPr>
            <w:r w:rsidRPr="00DA5119">
              <w:t>National plans</w:t>
            </w:r>
          </w:p>
        </w:tc>
      </w:tr>
      <w:tr w:rsidR="0011459A" w:rsidRPr="00DA5119" w14:paraId="5D7DAF45" w14:textId="77777777" w:rsidTr="00C8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6B2F58E" w14:textId="77777777" w:rsidR="0011459A" w:rsidRPr="00DA5119" w:rsidRDefault="0011459A" w:rsidP="00DA5119">
            <w:pPr>
              <w:ind w:left="-90"/>
            </w:pPr>
          </w:p>
        </w:tc>
        <w:tc>
          <w:tcPr>
            <w:tcW w:w="1946" w:type="dxa"/>
          </w:tcPr>
          <w:p w14:paraId="0A830CA0"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pPr>
          </w:p>
        </w:tc>
        <w:tc>
          <w:tcPr>
            <w:tcW w:w="4433" w:type="dxa"/>
          </w:tcPr>
          <w:p w14:paraId="608806E7"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pPr>
          </w:p>
        </w:tc>
      </w:tr>
      <w:tr w:rsidR="0011459A" w:rsidRPr="00DA5119" w14:paraId="14A487F2" w14:textId="77777777" w:rsidTr="00C81B2C">
        <w:tc>
          <w:tcPr>
            <w:cnfStyle w:val="001000000000" w:firstRow="0" w:lastRow="0" w:firstColumn="1" w:lastColumn="0" w:oddVBand="0" w:evenVBand="0" w:oddHBand="0" w:evenHBand="0" w:firstRowFirstColumn="0" w:firstRowLastColumn="0" w:lastRowFirstColumn="0" w:lastRowLastColumn="0"/>
            <w:tcW w:w="2660" w:type="dxa"/>
          </w:tcPr>
          <w:p w14:paraId="39B9E4BA" w14:textId="77777777" w:rsidR="0011459A" w:rsidRPr="00DA5119" w:rsidRDefault="0011459A" w:rsidP="00DA5119">
            <w:pPr>
              <w:ind w:left="-90"/>
            </w:pPr>
          </w:p>
        </w:tc>
        <w:tc>
          <w:tcPr>
            <w:tcW w:w="1946" w:type="dxa"/>
          </w:tcPr>
          <w:p w14:paraId="2B88744F"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b/>
                <w:i/>
                <w:sz w:val="20"/>
                <w:szCs w:val="20"/>
              </w:rPr>
            </w:pPr>
            <w:r w:rsidRPr="00DA5119">
              <w:rPr>
                <w:b/>
                <w:i/>
                <w:sz w:val="20"/>
                <w:szCs w:val="20"/>
              </w:rPr>
              <w:t>Included GHGs?</w:t>
            </w:r>
          </w:p>
        </w:tc>
        <w:tc>
          <w:tcPr>
            <w:tcW w:w="4433" w:type="dxa"/>
          </w:tcPr>
          <w:p w14:paraId="2CE2D224"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b/>
                <w:i/>
                <w:sz w:val="20"/>
                <w:szCs w:val="20"/>
              </w:rPr>
            </w:pPr>
            <w:r w:rsidRPr="00DA5119">
              <w:rPr>
                <w:b/>
                <w:i/>
                <w:sz w:val="20"/>
                <w:szCs w:val="20"/>
              </w:rPr>
              <w:t>Explicit direct non-CO</w:t>
            </w:r>
            <w:r w:rsidRPr="00DA5119">
              <w:rPr>
                <w:b/>
                <w:i/>
                <w:sz w:val="20"/>
                <w:szCs w:val="20"/>
                <w:vertAlign w:val="subscript"/>
              </w:rPr>
              <w:t>2</w:t>
            </w:r>
            <w:r w:rsidRPr="00DA5119">
              <w:rPr>
                <w:b/>
                <w:i/>
                <w:sz w:val="20"/>
                <w:szCs w:val="20"/>
              </w:rPr>
              <w:t xml:space="preserve"> policies? </w:t>
            </w:r>
          </w:p>
        </w:tc>
      </w:tr>
      <w:tr w:rsidR="0011459A" w:rsidRPr="00DA5119" w14:paraId="7273B3C1" w14:textId="77777777" w:rsidTr="00C8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70012BA" w14:textId="77777777" w:rsidR="0011459A" w:rsidRPr="00DA5119" w:rsidRDefault="0011459A" w:rsidP="00DA5119">
            <w:pPr>
              <w:ind w:left="-90"/>
            </w:pPr>
          </w:p>
        </w:tc>
        <w:tc>
          <w:tcPr>
            <w:tcW w:w="1946" w:type="dxa"/>
          </w:tcPr>
          <w:p w14:paraId="28DB2BCF"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b/>
                <w:sz w:val="20"/>
                <w:szCs w:val="20"/>
              </w:rPr>
            </w:pPr>
          </w:p>
        </w:tc>
        <w:tc>
          <w:tcPr>
            <w:tcW w:w="4433" w:type="dxa"/>
          </w:tcPr>
          <w:p w14:paraId="7B2C6D8D"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b/>
                <w:sz w:val="20"/>
                <w:szCs w:val="20"/>
              </w:rPr>
            </w:pPr>
          </w:p>
        </w:tc>
      </w:tr>
      <w:tr w:rsidR="0011459A" w:rsidRPr="00DA5119" w14:paraId="03E58725" w14:textId="77777777" w:rsidTr="00C81B2C">
        <w:tc>
          <w:tcPr>
            <w:cnfStyle w:val="001000000000" w:firstRow="0" w:lastRow="0" w:firstColumn="1" w:lastColumn="0" w:oddVBand="0" w:evenVBand="0" w:oddHBand="0" w:evenHBand="0" w:firstRowFirstColumn="0" w:firstRowLastColumn="0" w:lastRowFirstColumn="0" w:lastRowLastColumn="0"/>
            <w:tcW w:w="2660" w:type="dxa"/>
          </w:tcPr>
          <w:p w14:paraId="5BC3E4EE" w14:textId="77777777" w:rsidR="0011459A" w:rsidRPr="00DA5119" w:rsidRDefault="0011459A" w:rsidP="00DA5119">
            <w:pPr>
              <w:ind w:left="-90"/>
            </w:pPr>
            <w:r w:rsidRPr="00DA5119">
              <w:t>Argentina</w:t>
            </w:r>
          </w:p>
        </w:tc>
        <w:tc>
          <w:tcPr>
            <w:tcW w:w="1946" w:type="dxa"/>
          </w:tcPr>
          <w:p w14:paraId="05325502"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All</w:t>
            </w:r>
          </w:p>
        </w:tc>
        <w:tc>
          <w:tcPr>
            <w:tcW w:w="4433" w:type="dxa"/>
          </w:tcPr>
          <w:p w14:paraId="76F3D955"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None</w:t>
            </w:r>
          </w:p>
        </w:tc>
      </w:tr>
      <w:tr w:rsidR="0011459A" w:rsidRPr="00DA5119" w14:paraId="2D38812C" w14:textId="77777777" w:rsidTr="00C8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77E5443" w14:textId="77777777" w:rsidR="0011459A" w:rsidRPr="00DA5119" w:rsidRDefault="0011459A" w:rsidP="00DA5119">
            <w:pPr>
              <w:ind w:left="-90"/>
            </w:pPr>
            <w:r w:rsidRPr="00DA5119">
              <w:t>Australia</w:t>
            </w:r>
          </w:p>
        </w:tc>
        <w:tc>
          <w:tcPr>
            <w:tcW w:w="1946" w:type="dxa"/>
          </w:tcPr>
          <w:p w14:paraId="64733C32"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All</w:t>
            </w:r>
          </w:p>
        </w:tc>
        <w:tc>
          <w:tcPr>
            <w:tcW w:w="4433" w:type="dxa"/>
          </w:tcPr>
          <w:p w14:paraId="33D92A4C"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HFC (85% reduction in 2036, compared to a no policy baseline)</w:t>
            </w:r>
          </w:p>
        </w:tc>
      </w:tr>
      <w:tr w:rsidR="0011459A" w:rsidRPr="00DA5119" w14:paraId="4F0EFA12" w14:textId="77777777" w:rsidTr="00C81B2C">
        <w:tc>
          <w:tcPr>
            <w:cnfStyle w:val="001000000000" w:firstRow="0" w:lastRow="0" w:firstColumn="1" w:lastColumn="0" w:oddVBand="0" w:evenVBand="0" w:oddHBand="0" w:evenHBand="0" w:firstRowFirstColumn="0" w:firstRowLastColumn="0" w:lastRowFirstColumn="0" w:lastRowLastColumn="0"/>
            <w:tcW w:w="2660" w:type="dxa"/>
          </w:tcPr>
          <w:p w14:paraId="6BC04D79" w14:textId="77777777" w:rsidR="0011459A" w:rsidRPr="00DA5119" w:rsidRDefault="0011459A" w:rsidP="00DA5119">
            <w:pPr>
              <w:ind w:left="-90"/>
            </w:pPr>
            <w:r w:rsidRPr="00DA5119">
              <w:t>Brazil</w:t>
            </w:r>
          </w:p>
        </w:tc>
        <w:tc>
          <w:tcPr>
            <w:tcW w:w="1946" w:type="dxa"/>
          </w:tcPr>
          <w:p w14:paraId="4B6908A7"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All</w:t>
            </w:r>
          </w:p>
        </w:tc>
        <w:tc>
          <w:tcPr>
            <w:tcW w:w="4433" w:type="dxa"/>
          </w:tcPr>
          <w:p w14:paraId="177DC583"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None</w:t>
            </w:r>
          </w:p>
        </w:tc>
      </w:tr>
      <w:tr w:rsidR="0011459A" w:rsidRPr="00DA5119" w14:paraId="766F9918" w14:textId="77777777" w:rsidTr="00C8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C9C6952" w14:textId="77777777" w:rsidR="0011459A" w:rsidRPr="00DA5119" w:rsidRDefault="0011459A" w:rsidP="00DA5119">
            <w:pPr>
              <w:ind w:left="-90"/>
            </w:pPr>
            <w:r w:rsidRPr="00DA5119">
              <w:t>Canada</w:t>
            </w:r>
          </w:p>
        </w:tc>
        <w:tc>
          <w:tcPr>
            <w:tcW w:w="1946" w:type="dxa"/>
          </w:tcPr>
          <w:p w14:paraId="67812E07"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All</w:t>
            </w:r>
          </w:p>
        </w:tc>
        <w:tc>
          <w:tcPr>
            <w:tcW w:w="4433" w:type="dxa"/>
          </w:tcPr>
          <w:p w14:paraId="61CFA812"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None</w:t>
            </w:r>
          </w:p>
        </w:tc>
      </w:tr>
      <w:tr w:rsidR="0011459A" w:rsidRPr="00DA5119" w14:paraId="1A9AE307" w14:textId="77777777" w:rsidTr="00C81B2C">
        <w:tc>
          <w:tcPr>
            <w:cnfStyle w:val="001000000000" w:firstRow="0" w:lastRow="0" w:firstColumn="1" w:lastColumn="0" w:oddVBand="0" w:evenVBand="0" w:oddHBand="0" w:evenHBand="0" w:firstRowFirstColumn="0" w:firstRowLastColumn="0" w:lastRowFirstColumn="0" w:lastRowLastColumn="0"/>
            <w:tcW w:w="2660" w:type="dxa"/>
          </w:tcPr>
          <w:p w14:paraId="325136C4" w14:textId="77777777" w:rsidR="0011459A" w:rsidRPr="00DA5119" w:rsidRDefault="0011459A" w:rsidP="00DA5119">
            <w:pPr>
              <w:ind w:left="-90"/>
            </w:pPr>
            <w:r w:rsidRPr="00DA5119">
              <w:t>China</w:t>
            </w:r>
          </w:p>
        </w:tc>
        <w:tc>
          <w:tcPr>
            <w:tcW w:w="1946" w:type="dxa"/>
          </w:tcPr>
          <w:p w14:paraId="70AEB938"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CO</w:t>
            </w:r>
            <w:r w:rsidRPr="00DA5119">
              <w:rPr>
                <w:sz w:val="20"/>
                <w:szCs w:val="20"/>
                <w:vertAlign w:val="subscript"/>
              </w:rPr>
              <w:t>2</w:t>
            </w:r>
            <w:r w:rsidRPr="00DA5119">
              <w:rPr>
                <w:sz w:val="20"/>
                <w:szCs w:val="20"/>
              </w:rPr>
              <w:t>-only</w:t>
            </w:r>
          </w:p>
        </w:tc>
        <w:tc>
          <w:tcPr>
            <w:tcW w:w="4433" w:type="dxa"/>
          </w:tcPr>
          <w:p w14:paraId="7A048623"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HFCs (partly) (Reduction of HCFC22: 68% in 2025, compared to a no policy baseline, leading to reduced HFC23 emissions)</w:t>
            </w:r>
          </w:p>
        </w:tc>
      </w:tr>
      <w:tr w:rsidR="0011459A" w:rsidRPr="00DA5119" w14:paraId="615F8B0C" w14:textId="77777777" w:rsidTr="00C8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3045630" w14:textId="77777777" w:rsidR="0011459A" w:rsidRPr="00DA5119" w:rsidRDefault="0011459A" w:rsidP="00DA5119">
            <w:pPr>
              <w:ind w:left="-90"/>
            </w:pPr>
            <w:r w:rsidRPr="00DA5119">
              <w:t>European Union</w:t>
            </w:r>
          </w:p>
        </w:tc>
        <w:tc>
          <w:tcPr>
            <w:tcW w:w="1946" w:type="dxa"/>
          </w:tcPr>
          <w:p w14:paraId="186B56B1"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All</w:t>
            </w:r>
          </w:p>
        </w:tc>
        <w:tc>
          <w:tcPr>
            <w:tcW w:w="4433" w:type="dxa"/>
          </w:tcPr>
          <w:p w14:paraId="68E98350"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 xml:space="preserve">All (Reduction compared to 1990, 72%-73% (in 2030) and 70% -78% (in 2050)) </w:t>
            </w:r>
          </w:p>
        </w:tc>
      </w:tr>
      <w:tr w:rsidR="0011459A" w:rsidRPr="00DA5119" w14:paraId="6F3C3BD3" w14:textId="77777777" w:rsidTr="00C81B2C">
        <w:tc>
          <w:tcPr>
            <w:cnfStyle w:val="001000000000" w:firstRow="0" w:lastRow="0" w:firstColumn="1" w:lastColumn="0" w:oddVBand="0" w:evenVBand="0" w:oddHBand="0" w:evenHBand="0" w:firstRowFirstColumn="0" w:firstRowLastColumn="0" w:lastRowFirstColumn="0" w:lastRowLastColumn="0"/>
            <w:tcW w:w="2660" w:type="dxa"/>
          </w:tcPr>
          <w:p w14:paraId="29663649" w14:textId="77777777" w:rsidR="0011459A" w:rsidRPr="00DA5119" w:rsidRDefault="0011459A" w:rsidP="00DA5119">
            <w:pPr>
              <w:ind w:left="-90"/>
            </w:pPr>
            <w:r w:rsidRPr="00DA5119">
              <w:t>India</w:t>
            </w:r>
          </w:p>
        </w:tc>
        <w:tc>
          <w:tcPr>
            <w:tcW w:w="1946" w:type="dxa"/>
          </w:tcPr>
          <w:p w14:paraId="513D49B6"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All *</w:t>
            </w:r>
          </w:p>
        </w:tc>
        <w:tc>
          <w:tcPr>
            <w:tcW w:w="4433" w:type="dxa"/>
          </w:tcPr>
          <w:p w14:paraId="3741B7FD"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None</w:t>
            </w:r>
          </w:p>
        </w:tc>
      </w:tr>
      <w:tr w:rsidR="0011459A" w:rsidRPr="00DA5119" w14:paraId="518B43E4" w14:textId="77777777" w:rsidTr="00C8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4D00276" w14:textId="77777777" w:rsidR="0011459A" w:rsidRPr="00DA5119" w:rsidRDefault="0011459A" w:rsidP="00DA5119">
            <w:pPr>
              <w:ind w:left="-90"/>
            </w:pPr>
            <w:r w:rsidRPr="00DA5119">
              <w:t>Indonesia</w:t>
            </w:r>
          </w:p>
        </w:tc>
        <w:tc>
          <w:tcPr>
            <w:tcW w:w="1946" w:type="dxa"/>
          </w:tcPr>
          <w:p w14:paraId="6AFB6FF6"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All</w:t>
            </w:r>
          </w:p>
        </w:tc>
        <w:tc>
          <w:tcPr>
            <w:tcW w:w="4433" w:type="dxa"/>
          </w:tcPr>
          <w:p w14:paraId="4B031D63"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None</w:t>
            </w:r>
          </w:p>
        </w:tc>
      </w:tr>
      <w:tr w:rsidR="0011459A" w:rsidRPr="00DA5119" w14:paraId="5C95137D" w14:textId="77777777" w:rsidTr="00C81B2C">
        <w:tc>
          <w:tcPr>
            <w:cnfStyle w:val="001000000000" w:firstRow="0" w:lastRow="0" w:firstColumn="1" w:lastColumn="0" w:oddVBand="0" w:evenVBand="0" w:oddHBand="0" w:evenHBand="0" w:firstRowFirstColumn="0" w:firstRowLastColumn="0" w:lastRowFirstColumn="0" w:lastRowLastColumn="0"/>
            <w:tcW w:w="2660" w:type="dxa"/>
          </w:tcPr>
          <w:p w14:paraId="66B8755E" w14:textId="77777777" w:rsidR="0011459A" w:rsidRPr="00DA5119" w:rsidRDefault="0011459A" w:rsidP="00DA5119">
            <w:pPr>
              <w:ind w:left="-90"/>
            </w:pPr>
            <w:r w:rsidRPr="00DA5119">
              <w:t>Japan</w:t>
            </w:r>
          </w:p>
        </w:tc>
        <w:tc>
          <w:tcPr>
            <w:tcW w:w="1946" w:type="dxa"/>
          </w:tcPr>
          <w:p w14:paraId="4D7B746F"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All</w:t>
            </w:r>
          </w:p>
        </w:tc>
        <w:tc>
          <w:tcPr>
            <w:tcW w:w="4433" w:type="dxa"/>
          </w:tcPr>
          <w:p w14:paraId="142EA5A3"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HFCs (partly) (Reduction of fluorinated gases: 9.7-15.6 MtCO2e in 2020 compared to compared to a no policy baseline, is +/- 10% )</w:t>
            </w:r>
          </w:p>
        </w:tc>
      </w:tr>
      <w:tr w:rsidR="0011459A" w:rsidRPr="00DA5119" w14:paraId="75DA280E" w14:textId="77777777" w:rsidTr="00C8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E1981DE" w14:textId="77777777" w:rsidR="0011459A" w:rsidRPr="00DA5119" w:rsidRDefault="0011459A" w:rsidP="00DA5119">
            <w:pPr>
              <w:ind w:left="-90"/>
            </w:pPr>
            <w:r w:rsidRPr="00DA5119">
              <w:t>Mexico</w:t>
            </w:r>
          </w:p>
        </w:tc>
        <w:tc>
          <w:tcPr>
            <w:tcW w:w="1946" w:type="dxa"/>
          </w:tcPr>
          <w:p w14:paraId="13980B3A"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All</w:t>
            </w:r>
          </w:p>
        </w:tc>
        <w:tc>
          <w:tcPr>
            <w:tcW w:w="4433" w:type="dxa"/>
          </w:tcPr>
          <w:p w14:paraId="4AF360EC"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Black Carbon (51% - 70% reduction in 2030, compared to a no policy baseline)</w:t>
            </w:r>
          </w:p>
        </w:tc>
      </w:tr>
      <w:tr w:rsidR="0011459A" w:rsidRPr="00DA5119" w14:paraId="29839BAC" w14:textId="77777777" w:rsidTr="00C81B2C">
        <w:tc>
          <w:tcPr>
            <w:cnfStyle w:val="001000000000" w:firstRow="0" w:lastRow="0" w:firstColumn="1" w:lastColumn="0" w:oddVBand="0" w:evenVBand="0" w:oddHBand="0" w:evenHBand="0" w:firstRowFirstColumn="0" w:firstRowLastColumn="0" w:lastRowFirstColumn="0" w:lastRowLastColumn="0"/>
            <w:tcW w:w="2660" w:type="dxa"/>
          </w:tcPr>
          <w:p w14:paraId="4D3F979F" w14:textId="77777777" w:rsidR="0011459A" w:rsidRPr="00DA5119" w:rsidRDefault="0011459A" w:rsidP="00DA5119">
            <w:pPr>
              <w:ind w:left="-90"/>
            </w:pPr>
            <w:r w:rsidRPr="00DA5119">
              <w:t>Republic of Korea</w:t>
            </w:r>
          </w:p>
        </w:tc>
        <w:tc>
          <w:tcPr>
            <w:tcW w:w="1946" w:type="dxa"/>
          </w:tcPr>
          <w:p w14:paraId="1BA89664"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All</w:t>
            </w:r>
          </w:p>
        </w:tc>
        <w:tc>
          <w:tcPr>
            <w:tcW w:w="4433" w:type="dxa"/>
          </w:tcPr>
          <w:p w14:paraId="2D9E35D3"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None</w:t>
            </w:r>
          </w:p>
        </w:tc>
      </w:tr>
      <w:tr w:rsidR="0011459A" w:rsidRPr="00DA5119" w14:paraId="75319BB4" w14:textId="77777777" w:rsidTr="00C8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8F7DBEB" w14:textId="77777777" w:rsidR="0011459A" w:rsidRPr="00DA5119" w:rsidRDefault="0011459A" w:rsidP="00DA5119">
            <w:pPr>
              <w:ind w:left="-90"/>
            </w:pPr>
            <w:r w:rsidRPr="00DA5119">
              <w:t>Russian Federation</w:t>
            </w:r>
          </w:p>
        </w:tc>
        <w:tc>
          <w:tcPr>
            <w:tcW w:w="1946" w:type="dxa"/>
          </w:tcPr>
          <w:p w14:paraId="17BC9653"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All</w:t>
            </w:r>
          </w:p>
        </w:tc>
        <w:tc>
          <w:tcPr>
            <w:tcW w:w="4433" w:type="dxa"/>
          </w:tcPr>
          <w:p w14:paraId="38DF9A5C"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None</w:t>
            </w:r>
          </w:p>
        </w:tc>
      </w:tr>
      <w:tr w:rsidR="0011459A" w:rsidRPr="00DA5119" w14:paraId="0CC57922" w14:textId="77777777" w:rsidTr="00C81B2C">
        <w:tc>
          <w:tcPr>
            <w:cnfStyle w:val="001000000000" w:firstRow="0" w:lastRow="0" w:firstColumn="1" w:lastColumn="0" w:oddVBand="0" w:evenVBand="0" w:oddHBand="0" w:evenHBand="0" w:firstRowFirstColumn="0" w:firstRowLastColumn="0" w:lastRowFirstColumn="0" w:lastRowLastColumn="0"/>
            <w:tcW w:w="2660" w:type="dxa"/>
          </w:tcPr>
          <w:p w14:paraId="0B2F31E5" w14:textId="77777777" w:rsidR="0011459A" w:rsidRPr="00DA5119" w:rsidRDefault="0011459A" w:rsidP="00DA5119">
            <w:pPr>
              <w:ind w:left="-90"/>
            </w:pPr>
            <w:r w:rsidRPr="00DA5119">
              <w:t>Saudi Arabia</w:t>
            </w:r>
          </w:p>
        </w:tc>
        <w:tc>
          <w:tcPr>
            <w:tcW w:w="1946" w:type="dxa"/>
          </w:tcPr>
          <w:p w14:paraId="2C99C814"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All</w:t>
            </w:r>
          </w:p>
        </w:tc>
        <w:tc>
          <w:tcPr>
            <w:tcW w:w="4433" w:type="dxa"/>
          </w:tcPr>
          <w:p w14:paraId="229D6F59"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None</w:t>
            </w:r>
          </w:p>
        </w:tc>
      </w:tr>
      <w:tr w:rsidR="0011459A" w:rsidRPr="00DA5119" w14:paraId="28AA5E2D" w14:textId="77777777" w:rsidTr="00C8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EC4D1FD" w14:textId="77777777" w:rsidR="0011459A" w:rsidRPr="00DA5119" w:rsidRDefault="0011459A" w:rsidP="00DA5119">
            <w:pPr>
              <w:ind w:left="-90"/>
            </w:pPr>
            <w:r w:rsidRPr="00DA5119">
              <w:t>South Africa</w:t>
            </w:r>
          </w:p>
        </w:tc>
        <w:tc>
          <w:tcPr>
            <w:tcW w:w="1946" w:type="dxa"/>
          </w:tcPr>
          <w:p w14:paraId="2FB89913"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All</w:t>
            </w:r>
          </w:p>
        </w:tc>
        <w:tc>
          <w:tcPr>
            <w:tcW w:w="4433" w:type="dxa"/>
          </w:tcPr>
          <w:p w14:paraId="57D5304A"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None</w:t>
            </w:r>
          </w:p>
        </w:tc>
      </w:tr>
      <w:tr w:rsidR="0011459A" w:rsidRPr="00DA5119" w14:paraId="4A9B1A30" w14:textId="77777777" w:rsidTr="00C81B2C">
        <w:tc>
          <w:tcPr>
            <w:cnfStyle w:val="001000000000" w:firstRow="0" w:lastRow="0" w:firstColumn="1" w:lastColumn="0" w:oddVBand="0" w:evenVBand="0" w:oddHBand="0" w:evenHBand="0" w:firstRowFirstColumn="0" w:firstRowLastColumn="0" w:lastRowFirstColumn="0" w:lastRowLastColumn="0"/>
            <w:tcW w:w="2660" w:type="dxa"/>
          </w:tcPr>
          <w:p w14:paraId="2AEBAF47" w14:textId="77777777" w:rsidR="0011459A" w:rsidRPr="00DA5119" w:rsidRDefault="0011459A" w:rsidP="00DA5119">
            <w:pPr>
              <w:ind w:left="-90"/>
            </w:pPr>
            <w:r w:rsidRPr="00DA5119">
              <w:t>Turkey</w:t>
            </w:r>
          </w:p>
        </w:tc>
        <w:tc>
          <w:tcPr>
            <w:tcW w:w="1946" w:type="dxa"/>
          </w:tcPr>
          <w:p w14:paraId="2EB002D9"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All</w:t>
            </w:r>
          </w:p>
        </w:tc>
        <w:tc>
          <w:tcPr>
            <w:tcW w:w="4433" w:type="dxa"/>
          </w:tcPr>
          <w:p w14:paraId="316A0052" w14:textId="77777777" w:rsidR="0011459A" w:rsidRPr="00DA5119" w:rsidRDefault="0011459A" w:rsidP="00DA5119">
            <w:pPr>
              <w:ind w:left="-90"/>
              <w:cnfStyle w:val="000000000000" w:firstRow="0" w:lastRow="0" w:firstColumn="0" w:lastColumn="0" w:oddVBand="0" w:evenVBand="0" w:oddHBand="0" w:evenHBand="0" w:firstRowFirstColumn="0" w:firstRowLastColumn="0" w:lastRowFirstColumn="0" w:lastRowLastColumn="0"/>
              <w:rPr>
                <w:sz w:val="20"/>
                <w:szCs w:val="20"/>
              </w:rPr>
            </w:pPr>
            <w:r w:rsidRPr="00DA5119">
              <w:rPr>
                <w:sz w:val="20"/>
                <w:szCs w:val="20"/>
              </w:rPr>
              <w:t>None</w:t>
            </w:r>
          </w:p>
        </w:tc>
      </w:tr>
      <w:tr w:rsidR="0011459A" w:rsidRPr="00DA5119" w14:paraId="0DC82BA6" w14:textId="77777777" w:rsidTr="00C8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B487975" w14:textId="77777777" w:rsidR="0011459A" w:rsidRPr="00DA5119" w:rsidRDefault="0011459A" w:rsidP="00DA5119">
            <w:pPr>
              <w:ind w:left="-90"/>
            </w:pPr>
            <w:r w:rsidRPr="00DA5119">
              <w:t>United States of America</w:t>
            </w:r>
          </w:p>
        </w:tc>
        <w:tc>
          <w:tcPr>
            <w:tcW w:w="1946" w:type="dxa"/>
          </w:tcPr>
          <w:p w14:paraId="6668450F"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All</w:t>
            </w:r>
          </w:p>
        </w:tc>
        <w:tc>
          <w:tcPr>
            <w:tcW w:w="4433" w:type="dxa"/>
          </w:tcPr>
          <w:p w14:paraId="492E3C32" w14:textId="77777777" w:rsidR="0011459A" w:rsidRPr="00DA5119" w:rsidRDefault="0011459A" w:rsidP="00DA5119">
            <w:pPr>
              <w:ind w:left="-90"/>
              <w:cnfStyle w:val="000000100000" w:firstRow="0" w:lastRow="0" w:firstColumn="0" w:lastColumn="0" w:oddVBand="0" w:evenVBand="0" w:oddHBand="1" w:evenHBand="0" w:firstRowFirstColumn="0" w:firstRowLastColumn="0" w:lastRowFirstColumn="0" w:lastRowLastColumn="0"/>
              <w:rPr>
                <w:sz w:val="20"/>
                <w:szCs w:val="20"/>
              </w:rPr>
            </w:pPr>
            <w:r w:rsidRPr="00DA5119">
              <w:rPr>
                <w:sz w:val="20"/>
                <w:szCs w:val="20"/>
              </w:rPr>
              <w:t>CH</w:t>
            </w:r>
            <w:r w:rsidRPr="00DA5119">
              <w:rPr>
                <w:sz w:val="20"/>
                <w:szCs w:val="20"/>
                <w:vertAlign w:val="subscript"/>
              </w:rPr>
              <w:t>4</w:t>
            </w:r>
            <w:r w:rsidRPr="00DA5119">
              <w:rPr>
                <w:sz w:val="20"/>
                <w:szCs w:val="20"/>
              </w:rPr>
              <w:t xml:space="preserve"> (40-45% reduction in oil &amp; gas production by 2025, compared to 2012), HFCs (85% reduction by 2033, compared to 2010)</w:t>
            </w:r>
          </w:p>
        </w:tc>
      </w:tr>
    </w:tbl>
    <w:p w14:paraId="533F3ED8" w14:textId="77777777" w:rsidR="0011459A" w:rsidRPr="00DA5119" w:rsidRDefault="0011459A" w:rsidP="00DA5119">
      <w:pPr>
        <w:ind w:left="-90"/>
        <w:rPr>
          <w:sz w:val="20"/>
          <w:szCs w:val="20"/>
        </w:rPr>
      </w:pPr>
      <w:r w:rsidRPr="00DA5119">
        <w:rPr>
          <w:sz w:val="20"/>
          <w:szCs w:val="20"/>
        </w:rPr>
        <w:t>* India excludes land-use related policies, so also land-use related non-CO</w:t>
      </w:r>
      <w:r w:rsidRPr="00DA5119">
        <w:rPr>
          <w:sz w:val="20"/>
          <w:szCs w:val="20"/>
          <w:vertAlign w:val="subscript"/>
        </w:rPr>
        <w:t>2</w:t>
      </w:r>
      <w:r w:rsidRPr="00DA5119">
        <w:rPr>
          <w:sz w:val="20"/>
          <w:szCs w:val="20"/>
        </w:rPr>
        <w:t xml:space="preserve"> measures. </w:t>
      </w:r>
    </w:p>
    <w:p w14:paraId="3C5ABF82" w14:textId="77777777" w:rsidR="0011459A" w:rsidRPr="00DA5119" w:rsidRDefault="0011459A" w:rsidP="00DA5119">
      <w:pPr>
        <w:ind w:left="-90"/>
      </w:pPr>
    </w:p>
    <w:p w14:paraId="0071AC4E" w14:textId="77777777" w:rsidR="0011459A" w:rsidRPr="00DA5119" w:rsidRDefault="0011459A" w:rsidP="00DA5119">
      <w:pPr>
        <w:ind w:left="-90"/>
      </w:pPr>
    </w:p>
    <w:p w14:paraId="23EBEA27" w14:textId="77777777" w:rsidR="0011459A" w:rsidRPr="00DA5119" w:rsidRDefault="0011459A" w:rsidP="00DA5119">
      <w:pPr>
        <w:ind w:left="-90"/>
        <w:rPr>
          <w:rFonts w:eastAsiaTheme="majorEastAsia" w:cstheme="majorBidi"/>
          <w:b/>
          <w:bCs/>
          <w:color w:val="4F81BD" w:themeColor="accent1"/>
        </w:rPr>
      </w:pPr>
      <w:r w:rsidRPr="00DA5119">
        <w:br w:type="page"/>
      </w:r>
    </w:p>
    <w:p w14:paraId="0BBD5ED2" w14:textId="41B0778D" w:rsidR="0019137F" w:rsidRPr="00DA5119" w:rsidRDefault="00B26B45" w:rsidP="00DA5119">
      <w:pPr>
        <w:pStyle w:val="Heading3"/>
        <w:ind w:left="-90"/>
        <w:rPr>
          <w:rFonts w:asciiTheme="minorHAnsi" w:hAnsiTheme="minorHAnsi"/>
          <w:lang w:val="en-US"/>
        </w:rPr>
      </w:pPr>
      <w:r w:rsidRPr="00DA5119">
        <w:rPr>
          <w:rFonts w:asciiTheme="minorHAnsi" w:hAnsiTheme="minorHAnsi"/>
          <w:lang w:val="en-US"/>
        </w:rPr>
        <w:lastRenderedPageBreak/>
        <w:t xml:space="preserve">S9 </w:t>
      </w:r>
      <w:r w:rsidR="0019137F" w:rsidRPr="00DA5119">
        <w:rPr>
          <w:rFonts w:asciiTheme="minorHAnsi" w:hAnsiTheme="minorHAnsi"/>
          <w:lang w:val="en-US"/>
        </w:rPr>
        <w:t>Sensitivity analysis: SLCF policy potential in case of CO</w:t>
      </w:r>
      <w:r w:rsidR="0019137F" w:rsidRPr="00DA5119">
        <w:rPr>
          <w:rFonts w:asciiTheme="minorHAnsi" w:hAnsiTheme="minorHAnsi"/>
          <w:vertAlign w:val="subscript"/>
          <w:lang w:val="en-US"/>
        </w:rPr>
        <w:t>2</w:t>
      </w:r>
      <w:r w:rsidR="0019137F" w:rsidRPr="00DA5119">
        <w:rPr>
          <w:rFonts w:asciiTheme="minorHAnsi" w:hAnsiTheme="minorHAnsi"/>
          <w:lang w:val="en-US"/>
        </w:rPr>
        <w:t xml:space="preserve"> focused </w:t>
      </w:r>
      <w:r w:rsidR="002E155C" w:rsidRPr="00DA5119">
        <w:rPr>
          <w:rFonts w:asciiTheme="minorHAnsi" w:hAnsiTheme="minorHAnsi"/>
          <w:lang w:val="en-US"/>
        </w:rPr>
        <w:t>NDC</w:t>
      </w:r>
      <w:r w:rsidR="0019137F" w:rsidRPr="00DA5119">
        <w:rPr>
          <w:rFonts w:asciiTheme="minorHAnsi" w:hAnsiTheme="minorHAnsi"/>
          <w:lang w:val="en-US"/>
        </w:rPr>
        <w:t>s</w:t>
      </w:r>
    </w:p>
    <w:p w14:paraId="15B4FB92" w14:textId="77777777" w:rsidR="0019137F" w:rsidRPr="00DA5119" w:rsidRDefault="0019137F" w:rsidP="00DA5119">
      <w:pPr>
        <w:ind w:left="-90"/>
        <w:rPr>
          <w:lang w:val="en-US"/>
        </w:rPr>
      </w:pPr>
    </w:p>
    <w:p w14:paraId="5C06ABC1" w14:textId="1A34C05E" w:rsidR="002727A2" w:rsidRPr="00DA5119" w:rsidRDefault="00DC4C89" w:rsidP="00DA5119">
      <w:pPr>
        <w:ind w:left="-90"/>
        <w:jc w:val="both"/>
        <w:rPr>
          <w:lang w:val="en-US"/>
        </w:rPr>
      </w:pPr>
      <w:r w:rsidRPr="00DA5119">
        <w:rPr>
          <w:lang w:val="en-US"/>
        </w:rPr>
        <w:t>This section describes the</w:t>
      </w:r>
      <w:r w:rsidR="002727A2" w:rsidRPr="00DA5119">
        <w:rPr>
          <w:lang w:val="en-US"/>
        </w:rPr>
        <w:t xml:space="preserve"> sensitivity analysis </w:t>
      </w:r>
      <w:r w:rsidRPr="00DA5119">
        <w:rPr>
          <w:lang w:val="en-US"/>
        </w:rPr>
        <w:t xml:space="preserve">performed </w:t>
      </w:r>
      <w:r w:rsidR="002727A2" w:rsidRPr="00DA5119">
        <w:rPr>
          <w:lang w:val="en-US"/>
        </w:rPr>
        <w:t>t</w:t>
      </w:r>
      <w:r w:rsidR="009626AD" w:rsidRPr="00DA5119">
        <w:rPr>
          <w:lang w:val="en-US"/>
        </w:rPr>
        <w:t>o assess if the potential of</w:t>
      </w:r>
      <w:r w:rsidR="002727A2" w:rsidRPr="00DA5119">
        <w:rPr>
          <w:lang w:val="en-US"/>
        </w:rPr>
        <w:t xml:space="preserve"> additional SLCF policy </w:t>
      </w:r>
      <w:r w:rsidR="001A4E17" w:rsidRPr="00DA5119">
        <w:rPr>
          <w:lang w:val="en-US"/>
        </w:rPr>
        <w:t>could</w:t>
      </w:r>
      <w:r w:rsidR="002727A2" w:rsidRPr="00DA5119">
        <w:rPr>
          <w:lang w:val="en-US"/>
        </w:rPr>
        <w:t xml:space="preserve"> be </w:t>
      </w:r>
      <w:r w:rsidRPr="00DA5119">
        <w:rPr>
          <w:lang w:val="en-US"/>
        </w:rPr>
        <w:t xml:space="preserve">higher than projected. This would be the case if the models assume that the </w:t>
      </w:r>
      <w:r w:rsidR="002E155C" w:rsidRPr="00DA5119">
        <w:rPr>
          <w:lang w:val="en-US"/>
        </w:rPr>
        <w:t>NDC</w:t>
      </w:r>
      <w:r w:rsidRPr="00DA5119">
        <w:rPr>
          <w:lang w:val="en-US"/>
        </w:rPr>
        <w:t>s are more non-CO</w:t>
      </w:r>
      <w:r w:rsidRPr="00DA5119">
        <w:rPr>
          <w:vertAlign w:val="subscript"/>
          <w:lang w:val="en-US"/>
        </w:rPr>
        <w:t>2</w:t>
      </w:r>
      <w:r w:rsidRPr="00DA5119">
        <w:rPr>
          <w:lang w:val="en-US"/>
        </w:rPr>
        <w:t xml:space="preserve"> focused than in reality. </w:t>
      </w:r>
    </w:p>
    <w:p w14:paraId="0569CFCF" w14:textId="53EDF127" w:rsidR="002727A2" w:rsidRPr="00DA5119" w:rsidRDefault="00DA0DDC" w:rsidP="00DA5119">
      <w:pPr>
        <w:ind w:left="-90"/>
        <w:jc w:val="both"/>
        <w:rPr>
          <w:lang w:val="en-US"/>
        </w:rPr>
      </w:pPr>
      <w:r w:rsidRPr="00DA5119">
        <w:rPr>
          <w:lang w:val="en-US"/>
        </w:rPr>
        <w:t>In order to determine how much larger this potential could be, we used the IMAGE integrated assessment model in combination with</w:t>
      </w:r>
      <w:r w:rsidR="002727A2" w:rsidRPr="00DA5119">
        <w:rPr>
          <w:lang w:val="en-US"/>
        </w:rPr>
        <w:t xml:space="preserve"> MAGICC6.3</w:t>
      </w:r>
      <w:r w:rsidR="00DC4C89" w:rsidRPr="00DA5119">
        <w:rPr>
          <w:lang w:val="en-US"/>
        </w:rPr>
        <w:t xml:space="preserve"> to </w:t>
      </w:r>
      <w:r w:rsidRPr="00DA5119">
        <w:rPr>
          <w:lang w:val="en-US"/>
        </w:rPr>
        <w:t>assess the global mean temperature</w:t>
      </w:r>
      <w:r w:rsidR="00E53019" w:rsidRPr="00DA5119">
        <w:rPr>
          <w:lang w:val="en-US"/>
        </w:rPr>
        <w:t xml:space="preserve"> (GMT)</w:t>
      </w:r>
      <w:r w:rsidR="00DC4C89" w:rsidRPr="00DA5119">
        <w:rPr>
          <w:lang w:val="en-US"/>
        </w:rPr>
        <w:t xml:space="preserve"> effects.</w:t>
      </w:r>
    </w:p>
    <w:p w14:paraId="45DA9A5E" w14:textId="3322DEBF" w:rsidR="00CD5C63" w:rsidRPr="00DA5119" w:rsidRDefault="00CC6F1F" w:rsidP="00DA5119">
      <w:pPr>
        <w:ind w:left="-90"/>
        <w:jc w:val="both"/>
        <w:rPr>
          <w:lang w:val="en-US"/>
        </w:rPr>
      </w:pPr>
      <w:r w:rsidRPr="00DA5119">
        <w:rPr>
          <w:lang w:val="en-US"/>
        </w:rPr>
        <w:t>Figure S</w:t>
      </w:r>
      <w:r w:rsidR="00B26B45" w:rsidRPr="00DA5119">
        <w:rPr>
          <w:lang w:val="en-US"/>
        </w:rPr>
        <w:t>9.1</w:t>
      </w:r>
      <w:r w:rsidRPr="00DA5119">
        <w:rPr>
          <w:lang w:val="en-US"/>
        </w:rPr>
        <w:t>and S</w:t>
      </w:r>
      <w:r w:rsidR="00B26B45" w:rsidRPr="00DA5119">
        <w:rPr>
          <w:lang w:val="en-US"/>
        </w:rPr>
        <w:t>9.2</w:t>
      </w:r>
      <w:r w:rsidR="00DA0DDC" w:rsidRPr="00DA5119">
        <w:rPr>
          <w:lang w:val="en-US"/>
        </w:rPr>
        <w:t xml:space="preserve"> show the temp</w:t>
      </w:r>
      <w:r w:rsidR="009626AD" w:rsidRPr="00DA5119">
        <w:rPr>
          <w:lang w:val="en-US"/>
        </w:rPr>
        <w:t xml:space="preserve">erature change </w:t>
      </w:r>
      <w:r w:rsidR="006F417A" w:rsidRPr="00DA5119">
        <w:rPr>
          <w:lang w:val="en-US"/>
        </w:rPr>
        <w:t xml:space="preserve">in the </w:t>
      </w:r>
      <w:r w:rsidR="002E155C" w:rsidRPr="00DA5119">
        <w:rPr>
          <w:lang w:val="en-US"/>
        </w:rPr>
        <w:t>NDC</w:t>
      </w:r>
      <w:r w:rsidR="006F417A" w:rsidRPr="00DA5119">
        <w:rPr>
          <w:lang w:val="en-US"/>
        </w:rPr>
        <w:t xml:space="preserve"> </w:t>
      </w:r>
      <w:r w:rsidR="00DA0DDC" w:rsidRPr="00DA5119">
        <w:rPr>
          <w:lang w:val="en-US"/>
        </w:rPr>
        <w:t xml:space="preserve">extrapolated and </w:t>
      </w:r>
      <w:r w:rsidR="002E155C" w:rsidRPr="00DA5119">
        <w:rPr>
          <w:lang w:val="en-US"/>
        </w:rPr>
        <w:t>NDC</w:t>
      </w:r>
      <w:r w:rsidR="00DA0DDC" w:rsidRPr="00DA5119">
        <w:rPr>
          <w:lang w:val="en-US"/>
        </w:rPr>
        <w:t>+2dC cases (as was shown for all the models in Figure 3 and 4 in the main text).</w:t>
      </w:r>
    </w:p>
    <w:p w14:paraId="7A34432D" w14:textId="7BA318A7" w:rsidR="00981E2B" w:rsidRPr="00DA5119" w:rsidRDefault="00981E2B" w:rsidP="00DA5119">
      <w:pPr>
        <w:pStyle w:val="NoSpacing"/>
        <w:ind w:left="-90"/>
        <w:jc w:val="both"/>
        <w:rPr>
          <w:lang w:val="en-US"/>
        </w:rPr>
      </w:pPr>
      <w:r w:rsidRPr="00DA5119">
        <w:rPr>
          <w:lang w:val="en-US"/>
        </w:rPr>
        <w:t>Description:</w:t>
      </w:r>
    </w:p>
    <w:p w14:paraId="19D357F6" w14:textId="239E1662" w:rsidR="00DA0DDC" w:rsidRPr="00DA5119" w:rsidRDefault="00A04CD2" w:rsidP="00DA5119">
      <w:pPr>
        <w:pStyle w:val="ListParagraph"/>
        <w:numPr>
          <w:ilvl w:val="0"/>
          <w:numId w:val="12"/>
        </w:numPr>
        <w:ind w:left="-90"/>
        <w:jc w:val="both"/>
        <w:rPr>
          <w:lang w:val="en-US"/>
        </w:rPr>
      </w:pPr>
      <w:r w:rsidRPr="00DA5119">
        <w:rPr>
          <w:i/>
          <w:lang w:val="en-US"/>
        </w:rPr>
        <w:t xml:space="preserve">NDC, </w:t>
      </w:r>
      <w:r w:rsidR="002E155C" w:rsidRPr="00DA5119">
        <w:rPr>
          <w:i/>
          <w:lang w:val="en-US"/>
        </w:rPr>
        <w:t>NDC</w:t>
      </w:r>
      <w:r w:rsidR="009626AD" w:rsidRPr="00DA5119">
        <w:rPr>
          <w:i/>
          <w:lang w:val="en-US"/>
        </w:rPr>
        <w:t>+SLCF</w:t>
      </w:r>
      <w:r w:rsidRPr="00DA5119">
        <w:rPr>
          <w:i/>
          <w:lang w:val="en-US"/>
        </w:rPr>
        <w:t>, NDC_2DC, NDC_2DC+SLCF</w:t>
      </w:r>
      <w:r w:rsidRPr="00DA5119">
        <w:rPr>
          <w:lang w:val="en-US"/>
        </w:rPr>
        <w:t xml:space="preserve"> </w:t>
      </w:r>
      <w:r w:rsidR="009626AD" w:rsidRPr="00DA5119">
        <w:rPr>
          <w:lang w:val="en-US"/>
        </w:rPr>
        <w:t xml:space="preserve">are the same scenarios as </w:t>
      </w:r>
      <w:r w:rsidR="006F417A" w:rsidRPr="00DA5119">
        <w:rPr>
          <w:lang w:val="en-US"/>
        </w:rPr>
        <w:t>provided in the original model runs.</w:t>
      </w:r>
      <w:r w:rsidR="009626AD" w:rsidRPr="00DA5119">
        <w:rPr>
          <w:lang w:val="en-US"/>
        </w:rPr>
        <w:t xml:space="preserve"> </w:t>
      </w:r>
    </w:p>
    <w:p w14:paraId="46BA6364" w14:textId="7090B0FA" w:rsidR="00ED16DF" w:rsidRPr="00DA5119" w:rsidRDefault="00A04CD2" w:rsidP="00DA5119">
      <w:pPr>
        <w:pStyle w:val="ListParagraph"/>
        <w:numPr>
          <w:ilvl w:val="0"/>
          <w:numId w:val="12"/>
        </w:numPr>
        <w:ind w:left="-90"/>
        <w:jc w:val="both"/>
        <w:rPr>
          <w:lang w:val="en-US"/>
        </w:rPr>
      </w:pPr>
      <w:r w:rsidRPr="00DA5119">
        <w:rPr>
          <w:i/>
          <w:lang w:val="en-US"/>
        </w:rPr>
        <w:t>NDC_LessCH4,</w:t>
      </w:r>
      <w:r w:rsidRPr="00DA5119">
        <w:rPr>
          <w:lang w:val="en-US"/>
        </w:rPr>
        <w:t xml:space="preserve"> </w:t>
      </w:r>
      <w:r w:rsidR="002E155C" w:rsidRPr="00DA5119">
        <w:rPr>
          <w:i/>
          <w:lang w:val="en-US"/>
        </w:rPr>
        <w:t>NDC</w:t>
      </w:r>
      <w:r w:rsidR="009626AD" w:rsidRPr="00DA5119">
        <w:rPr>
          <w:i/>
          <w:lang w:val="en-US"/>
        </w:rPr>
        <w:t>_LessCH4+SLCF</w:t>
      </w:r>
      <w:r w:rsidR="00C30ADE" w:rsidRPr="00DA5119">
        <w:rPr>
          <w:i/>
          <w:lang w:val="en-US"/>
        </w:rPr>
        <w:t xml:space="preserve">, NDC_2DC_LessCH4 </w:t>
      </w:r>
      <w:r w:rsidR="007C5372" w:rsidRPr="00DA5119">
        <w:rPr>
          <w:lang w:val="en-US"/>
        </w:rPr>
        <w:t xml:space="preserve">and </w:t>
      </w:r>
      <w:r w:rsidR="002E155C" w:rsidRPr="00DA5119">
        <w:rPr>
          <w:i/>
          <w:lang w:val="en-US"/>
        </w:rPr>
        <w:t>NDC</w:t>
      </w:r>
      <w:r w:rsidR="007C5372" w:rsidRPr="00DA5119">
        <w:rPr>
          <w:i/>
          <w:lang w:val="en-US"/>
        </w:rPr>
        <w:t>_2DC_LessCH4+SLCF</w:t>
      </w:r>
      <w:r w:rsidRPr="00DA5119">
        <w:rPr>
          <w:lang w:val="en-US"/>
        </w:rPr>
        <w:t xml:space="preserve"> </w:t>
      </w:r>
      <w:r w:rsidR="007C5372" w:rsidRPr="00DA5119">
        <w:rPr>
          <w:lang w:val="en-US"/>
        </w:rPr>
        <w:t>are</w:t>
      </w:r>
      <w:r w:rsidR="009626AD" w:rsidRPr="00DA5119">
        <w:rPr>
          <w:lang w:val="en-US"/>
        </w:rPr>
        <w:t xml:space="preserve"> alternative</w:t>
      </w:r>
      <w:r w:rsidR="0059653D" w:rsidRPr="00DA5119">
        <w:rPr>
          <w:lang w:val="en-US"/>
        </w:rPr>
        <w:t xml:space="preserve"> counterpart</w:t>
      </w:r>
      <w:r w:rsidR="009626AD" w:rsidRPr="00DA5119">
        <w:rPr>
          <w:lang w:val="en-US"/>
        </w:rPr>
        <w:t xml:space="preserve"> scenario</w:t>
      </w:r>
      <w:r w:rsidR="007C5372" w:rsidRPr="00DA5119">
        <w:rPr>
          <w:lang w:val="en-US"/>
        </w:rPr>
        <w:t>s</w:t>
      </w:r>
      <w:r w:rsidR="006362D2" w:rsidRPr="00DA5119">
        <w:rPr>
          <w:lang w:val="en-US"/>
        </w:rPr>
        <w:t xml:space="preserve"> that represent</w:t>
      </w:r>
      <w:r w:rsidR="009626AD" w:rsidRPr="00DA5119">
        <w:rPr>
          <w:lang w:val="en-US"/>
        </w:rPr>
        <w:t xml:space="preserve"> an extreme case where countries that </w:t>
      </w:r>
      <w:r w:rsidR="00981E2B" w:rsidRPr="00DA5119">
        <w:rPr>
          <w:lang w:val="en-US"/>
        </w:rPr>
        <w:t>have not</w:t>
      </w:r>
      <w:r w:rsidR="009626AD" w:rsidRPr="00DA5119">
        <w:rPr>
          <w:lang w:val="en-US"/>
        </w:rPr>
        <w:t xml:space="preserve"> explicitly defined non-CO</w:t>
      </w:r>
      <w:r w:rsidR="009626AD" w:rsidRPr="00DA5119">
        <w:rPr>
          <w:vertAlign w:val="subscript"/>
          <w:lang w:val="en-US"/>
        </w:rPr>
        <w:t>2</w:t>
      </w:r>
      <w:r w:rsidR="009626AD" w:rsidRPr="00DA5119">
        <w:rPr>
          <w:lang w:val="en-US"/>
        </w:rPr>
        <w:t xml:space="preserve"> mitigation policies in their national plans are assumed to only implement CO</w:t>
      </w:r>
      <w:r w:rsidR="009626AD" w:rsidRPr="00DA5119">
        <w:rPr>
          <w:vertAlign w:val="subscript"/>
          <w:lang w:val="en-US"/>
        </w:rPr>
        <w:t>2</w:t>
      </w:r>
      <w:r w:rsidR="009626AD" w:rsidRPr="00DA5119">
        <w:rPr>
          <w:lang w:val="en-US"/>
        </w:rPr>
        <w:t xml:space="preserve"> mitigation policies</w:t>
      </w:r>
      <w:r w:rsidR="00ED16DF" w:rsidRPr="00DA5119">
        <w:rPr>
          <w:lang w:val="en-US"/>
        </w:rPr>
        <w:t xml:space="preserve"> to reach their aggregated </w:t>
      </w:r>
      <w:r w:rsidR="002E155C" w:rsidRPr="00DA5119">
        <w:rPr>
          <w:lang w:val="en-US"/>
        </w:rPr>
        <w:t>NDC</w:t>
      </w:r>
      <w:r w:rsidR="00ED16DF" w:rsidRPr="00DA5119">
        <w:rPr>
          <w:lang w:val="en-US"/>
        </w:rPr>
        <w:t xml:space="preserve"> target (in terms of CO</w:t>
      </w:r>
      <w:r w:rsidR="00ED16DF" w:rsidRPr="00DA5119">
        <w:rPr>
          <w:vertAlign w:val="subscript"/>
          <w:lang w:val="en-US"/>
        </w:rPr>
        <w:t xml:space="preserve">2 </w:t>
      </w:r>
      <w:r w:rsidR="00ED16DF" w:rsidRPr="00DA5119">
        <w:rPr>
          <w:lang w:val="en-US"/>
        </w:rPr>
        <w:t>equivalent emissions)</w:t>
      </w:r>
      <w:r w:rsidR="009626AD" w:rsidRPr="00DA5119">
        <w:rPr>
          <w:lang w:val="en-US"/>
        </w:rPr>
        <w:t xml:space="preserve">. </w:t>
      </w:r>
      <w:r w:rsidR="00DA0DDC" w:rsidRPr="00DA5119">
        <w:rPr>
          <w:lang w:val="en-US"/>
        </w:rPr>
        <w:t xml:space="preserve">This is an exaggerated </w:t>
      </w:r>
      <w:r w:rsidR="00CD5C63" w:rsidRPr="00DA5119">
        <w:rPr>
          <w:lang w:val="en-US"/>
        </w:rPr>
        <w:t xml:space="preserve">assumption but useful to explore the solution space. </w:t>
      </w:r>
      <w:r w:rsidR="00ED16DF" w:rsidRPr="00DA5119">
        <w:rPr>
          <w:lang w:val="en-US"/>
        </w:rPr>
        <w:t>In this scenario, there is more room for additional CH</w:t>
      </w:r>
      <w:r w:rsidR="00ED16DF" w:rsidRPr="00DA5119">
        <w:rPr>
          <w:vertAlign w:val="subscript"/>
          <w:lang w:val="en-US"/>
        </w:rPr>
        <w:t>4</w:t>
      </w:r>
      <w:r w:rsidR="00ED16DF" w:rsidRPr="00DA5119">
        <w:rPr>
          <w:lang w:val="en-US"/>
        </w:rPr>
        <w:t xml:space="preserve"> </w:t>
      </w:r>
      <w:r w:rsidR="0059653D" w:rsidRPr="00DA5119">
        <w:rPr>
          <w:lang w:val="en-US"/>
        </w:rPr>
        <w:t xml:space="preserve">mitigation </w:t>
      </w:r>
      <w:r w:rsidR="007C5372" w:rsidRPr="00DA5119">
        <w:rPr>
          <w:lang w:val="en-US"/>
        </w:rPr>
        <w:t xml:space="preserve">and to a lesser extent HFC </w:t>
      </w:r>
      <w:r w:rsidR="00ED16DF" w:rsidRPr="00DA5119">
        <w:rPr>
          <w:lang w:val="en-US"/>
        </w:rPr>
        <w:t>mitigation</w:t>
      </w:r>
      <w:r w:rsidR="007C5372" w:rsidRPr="00DA5119">
        <w:rPr>
          <w:lang w:val="en-US"/>
        </w:rPr>
        <w:t xml:space="preserve"> (BC does not play a role here, because the models do not assume BC reduction in the absence of explicit SLCF policy, since BC is not an offset under the Kyoto protocol).</w:t>
      </w:r>
    </w:p>
    <w:p w14:paraId="5D567EF1" w14:textId="6583D857" w:rsidR="00C30ADE" w:rsidRPr="00DA5119" w:rsidRDefault="00C30ADE" w:rsidP="00DA5119">
      <w:pPr>
        <w:pStyle w:val="ListParagraph"/>
        <w:numPr>
          <w:ilvl w:val="0"/>
          <w:numId w:val="12"/>
        </w:numPr>
        <w:ind w:left="-90"/>
        <w:jc w:val="both"/>
        <w:rPr>
          <w:lang w:val="en-US"/>
        </w:rPr>
      </w:pPr>
      <w:r w:rsidRPr="00DA5119">
        <w:rPr>
          <w:lang w:val="en-US"/>
        </w:rPr>
        <w:t>For most regions</w:t>
      </w:r>
      <w:r w:rsidR="0059653D" w:rsidRPr="00DA5119">
        <w:rPr>
          <w:lang w:val="en-US"/>
        </w:rPr>
        <w:t xml:space="preserve"> in the “LessCH</w:t>
      </w:r>
      <w:r w:rsidR="0059653D" w:rsidRPr="00DA5119">
        <w:rPr>
          <w:vertAlign w:val="subscript"/>
          <w:lang w:val="en-US"/>
        </w:rPr>
        <w:t>4</w:t>
      </w:r>
      <w:r w:rsidR="0059653D" w:rsidRPr="00DA5119">
        <w:rPr>
          <w:lang w:val="en-US"/>
        </w:rPr>
        <w:t>” scenarios</w:t>
      </w:r>
      <w:r w:rsidRPr="00DA5119">
        <w:rPr>
          <w:lang w:val="en-US"/>
        </w:rPr>
        <w:t>, non-CO</w:t>
      </w:r>
      <w:r w:rsidRPr="00DA5119">
        <w:rPr>
          <w:vertAlign w:val="subscript"/>
          <w:lang w:val="en-US"/>
        </w:rPr>
        <w:t>2</w:t>
      </w:r>
      <w:r w:rsidRPr="00DA5119">
        <w:rPr>
          <w:lang w:val="en-US"/>
        </w:rPr>
        <w:t xml:space="preserve"> mitigation is excluded, with the exception of the USA and the EU (which have </w:t>
      </w:r>
      <w:r w:rsidR="00BE405D" w:rsidRPr="00DA5119">
        <w:rPr>
          <w:lang w:val="en-US"/>
        </w:rPr>
        <w:t>explicitly integrated comprehensive SLCF policy in their national plans).</w:t>
      </w:r>
      <w:r w:rsidRPr="00DA5119">
        <w:rPr>
          <w:lang w:val="en-US"/>
        </w:rPr>
        <w:t xml:space="preserve"> </w:t>
      </w:r>
    </w:p>
    <w:p w14:paraId="7AB80E92" w14:textId="4969CAEB" w:rsidR="00BE405D" w:rsidRPr="00DA5119" w:rsidRDefault="00BE405D" w:rsidP="00DA5119">
      <w:pPr>
        <w:pStyle w:val="ListParagraph"/>
        <w:numPr>
          <w:ilvl w:val="0"/>
          <w:numId w:val="12"/>
        </w:numPr>
        <w:ind w:left="-90"/>
        <w:jc w:val="both"/>
        <w:rPr>
          <w:lang w:val="en-US"/>
        </w:rPr>
      </w:pPr>
      <w:r w:rsidRPr="00DA5119">
        <w:rPr>
          <w:lang w:val="en-US"/>
        </w:rPr>
        <w:t>For the 2degC scenarios (</w:t>
      </w:r>
      <w:r w:rsidRPr="00DA5119">
        <w:rPr>
          <w:i/>
          <w:lang w:val="en-US"/>
        </w:rPr>
        <w:t xml:space="preserve">NDC_2DC_LessCH4 </w:t>
      </w:r>
      <w:r w:rsidRPr="00DA5119">
        <w:rPr>
          <w:lang w:val="en-US"/>
        </w:rPr>
        <w:t xml:space="preserve">and </w:t>
      </w:r>
      <w:r w:rsidRPr="00DA5119">
        <w:rPr>
          <w:i/>
          <w:lang w:val="en-US"/>
        </w:rPr>
        <w:t>NDC_2DC_LessCH4+SLCF</w:t>
      </w:r>
      <w:r w:rsidRPr="00DA5119">
        <w:rPr>
          <w:lang w:val="en-US"/>
        </w:rPr>
        <w:t>), it is assumed that after 2030, SLCF mitigation will take place again in all regions, since this would be expected when aiming for a stringent 2degC target.</w:t>
      </w:r>
      <w:r w:rsidR="00A04CD2" w:rsidRPr="00DA5119">
        <w:rPr>
          <w:lang w:val="en-US"/>
        </w:rPr>
        <w:t xml:space="preserve"> These scenarios are arguably the most interesting, because here, SLCF policy has the potential to lower peak GMT before the 2degC target is met. </w:t>
      </w:r>
    </w:p>
    <w:p w14:paraId="6F4C0960" w14:textId="4036DB0B" w:rsidR="00D644E1" w:rsidRPr="00DA5119" w:rsidRDefault="00ED16DF" w:rsidP="00DA5119">
      <w:pPr>
        <w:ind w:left="-90"/>
        <w:jc w:val="both"/>
        <w:rPr>
          <w:lang w:val="en-US"/>
        </w:rPr>
      </w:pPr>
      <w:r w:rsidRPr="00DA5119">
        <w:rPr>
          <w:lang w:val="en-US"/>
        </w:rPr>
        <w:t>Result:</w:t>
      </w:r>
    </w:p>
    <w:p w14:paraId="4C893BDE" w14:textId="39D0FD81" w:rsidR="007E245A" w:rsidRPr="00DA5119" w:rsidRDefault="007E245A" w:rsidP="00DA5119">
      <w:pPr>
        <w:pStyle w:val="ListParagraph"/>
        <w:numPr>
          <w:ilvl w:val="0"/>
          <w:numId w:val="12"/>
        </w:numPr>
        <w:ind w:left="-90"/>
        <w:jc w:val="both"/>
        <w:rPr>
          <w:lang w:val="en-US"/>
        </w:rPr>
      </w:pPr>
      <w:r w:rsidRPr="00DA5119">
        <w:rPr>
          <w:lang w:val="en-US"/>
        </w:rPr>
        <w:t xml:space="preserve">The GMT reducing potential of SLCF policy could </w:t>
      </w:r>
      <w:r w:rsidR="005162F6" w:rsidRPr="00DA5119">
        <w:rPr>
          <w:lang w:val="en-US"/>
        </w:rPr>
        <w:t>be larger if countries stick to a more CO</w:t>
      </w:r>
      <w:r w:rsidR="005162F6" w:rsidRPr="00DA5119">
        <w:rPr>
          <w:vertAlign w:val="subscript"/>
          <w:lang w:val="en-US"/>
        </w:rPr>
        <w:t>2</w:t>
      </w:r>
      <w:r w:rsidR="005162F6" w:rsidRPr="00DA5119">
        <w:rPr>
          <w:lang w:val="en-US"/>
        </w:rPr>
        <w:t xml:space="preserve"> focused mitigation strategy</w:t>
      </w:r>
      <w:r w:rsidR="00740231" w:rsidRPr="00DA5119">
        <w:rPr>
          <w:lang w:val="en-US"/>
        </w:rPr>
        <w:t xml:space="preserve"> (in theory: up to twice as large in the 2degC case)</w:t>
      </w:r>
      <w:r w:rsidR="005162F6" w:rsidRPr="00DA5119">
        <w:rPr>
          <w:lang w:val="en-US"/>
        </w:rPr>
        <w:t>:</w:t>
      </w:r>
    </w:p>
    <w:p w14:paraId="160FAE0E" w14:textId="2B0F6D24" w:rsidR="00AF5981" w:rsidRPr="00DA5119" w:rsidRDefault="009626AD" w:rsidP="00DA5119">
      <w:pPr>
        <w:pStyle w:val="ListParagraph"/>
        <w:numPr>
          <w:ilvl w:val="0"/>
          <w:numId w:val="12"/>
        </w:numPr>
        <w:ind w:left="-90"/>
        <w:jc w:val="both"/>
        <w:rPr>
          <w:lang w:val="en-US"/>
        </w:rPr>
      </w:pPr>
      <w:r w:rsidRPr="00DA5119">
        <w:rPr>
          <w:lang w:val="en-US"/>
        </w:rPr>
        <w:t>T</w:t>
      </w:r>
      <w:r w:rsidR="00AF5981" w:rsidRPr="00DA5119">
        <w:rPr>
          <w:lang w:val="en-US"/>
        </w:rPr>
        <w:t>he difference between the green</w:t>
      </w:r>
      <w:r w:rsidR="00ED16DF" w:rsidRPr="00DA5119">
        <w:rPr>
          <w:lang w:val="en-US"/>
        </w:rPr>
        <w:t xml:space="preserve"> and the blue line indicates</w:t>
      </w:r>
      <w:r w:rsidR="007E245A" w:rsidRPr="00DA5119">
        <w:rPr>
          <w:lang w:val="en-US"/>
        </w:rPr>
        <w:t xml:space="preserve"> the </w:t>
      </w:r>
      <w:r w:rsidR="005162F6" w:rsidRPr="00DA5119">
        <w:rPr>
          <w:lang w:val="en-US"/>
        </w:rPr>
        <w:t>GMT</w:t>
      </w:r>
      <w:r w:rsidR="007E245A" w:rsidRPr="00DA5119">
        <w:rPr>
          <w:lang w:val="en-US"/>
        </w:rPr>
        <w:t xml:space="preserve"> reducing potential in case of comprehensive, multi-gas </w:t>
      </w:r>
      <w:r w:rsidR="005162F6" w:rsidRPr="00DA5119">
        <w:rPr>
          <w:lang w:val="en-US"/>
        </w:rPr>
        <w:t>climate policy (as assumed in this study). The difference between the purple and the red line indicates the GMT reducing potential in case of extremely CO</w:t>
      </w:r>
      <w:r w:rsidR="005162F6" w:rsidRPr="00DA5119">
        <w:rPr>
          <w:vertAlign w:val="subscript"/>
          <w:lang w:val="en-US"/>
        </w:rPr>
        <w:t>2</w:t>
      </w:r>
      <w:r w:rsidR="005162F6" w:rsidRPr="00DA5119">
        <w:rPr>
          <w:lang w:val="en-US"/>
        </w:rPr>
        <w:t xml:space="preserve"> focused climate policy. In the NDC scenarios this</w:t>
      </w:r>
      <w:r w:rsidR="00631717" w:rsidRPr="00DA5119">
        <w:rPr>
          <w:lang w:val="en-US"/>
        </w:rPr>
        <w:t xml:space="preserve"> is</w:t>
      </w:r>
      <w:r w:rsidR="005162F6" w:rsidRPr="00DA5119">
        <w:rPr>
          <w:lang w:val="en-US"/>
        </w:rPr>
        <w:t xml:space="preserve"> assumed until the end of the century, in the NDC_2</w:t>
      </w:r>
      <w:r w:rsidR="00740231" w:rsidRPr="00DA5119">
        <w:rPr>
          <w:lang w:val="en-US"/>
        </w:rPr>
        <w:t>deg</w:t>
      </w:r>
      <w:r w:rsidR="005162F6" w:rsidRPr="00DA5119">
        <w:rPr>
          <w:lang w:val="en-US"/>
        </w:rPr>
        <w:t xml:space="preserve">C scenarios until 2030. See figure S9.3 for </w:t>
      </w:r>
      <w:r w:rsidR="00152450" w:rsidRPr="00DA5119">
        <w:rPr>
          <w:lang w:val="en-US"/>
        </w:rPr>
        <w:t xml:space="preserve">a graphical representation of the GMT reducing effects in </w:t>
      </w:r>
      <w:r w:rsidR="00162DB1" w:rsidRPr="00DA5119">
        <w:rPr>
          <w:lang w:val="en-US"/>
        </w:rPr>
        <w:t xml:space="preserve">the latter case (where it is most relevant because of the potential </w:t>
      </w:r>
      <w:r w:rsidR="00740231" w:rsidRPr="00DA5119">
        <w:rPr>
          <w:lang w:val="en-US"/>
        </w:rPr>
        <w:t xml:space="preserve">peak </w:t>
      </w:r>
      <w:r w:rsidR="00162DB1" w:rsidRPr="00DA5119">
        <w:rPr>
          <w:lang w:val="en-US"/>
        </w:rPr>
        <w:t>temperature reducing effect).</w:t>
      </w:r>
      <w:r w:rsidR="00152450" w:rsidRPr="00DA5119">
        <w:rPr>
          <w:lang w:val="en-US"/>
        </w:rPr>
        <w:t xml:space="preserve"> </w:t>
      </w:r>
    </w:p>
    <w:p w14:paraId="14B5FEFC" w14:textId="0EF9582B" w:rsidR="00152450" w:rsidRPr="00DA5119" w:rsidRDefault="00152450" w:rsidP="00DA5119">
      <w:pPr>
        <w:pStyle w:val="ListParagraph"/>
        <w:numPr>
          <w:ilvl w:val="0"/>
          <w:numId w:val="12"/>
        </w:numPr>
        <w:ind w:left="-90"/>
        <w:jc w:val="both"/>
        <w:rPr>
          <w:lang w:val="en-US"/>
        </w:rPr>
      </w:pPr>
      <w:r w:rsidRPr="00DA5119">
        <w:rPr>
          <w:lang w:val="en-US"/>
        </w:rPr>
        <w:t>In the NDC</w:t>
      </w:r>
      <w:r w:rsidR="00740231" w:rsidRPr="00DA5119">
        <w:rPr>
          <w:lang w:val="en-US"/>
        </w:rPr>
        <w:t>+2degC</w:t>
      </w:r>
      <w:r w:rsidRPr="00DA5119">
        <w:rPr>
          <w:lang w:val="en-US"/>
        </w:rPr>
        <w:t xml:space="preserve"> case</w:t>
      </w:r>
      <w:r w:rsidR="008C7B23" w:rsidRPr="00DA5119">
        <w:rPr>
          <w:lang w:val="en-US"/>
        </w:rPr>
        <w:t>, SLCF policy combined with an extremely CO</w:t>
      </w:r>
      <w:r w:rsidR="008C7B23" w:rsidRPr="00DA5119">
        <w:rPr>
          <w:vertAlign w:val="subscript"/>
          <w:lang w:val="en-US"/>
        </w:rPr>
        <w:t>2</w:t>
      </w:r>
      <w:r w:rsidR="008C7B23" w:rsidRPr="00DA5119">
        <w:rPr>
          <w:lang w:val="en-US"/>
        </w:rPr>
        <w:t xml:space="preserve"> focused</w:t>
      </w:r>
      <w:r w:rsidR="00811CD5" w:rsidRPr="00DA5119">
        <w:rPr>
          <w:lang w:val="en-US"/>
        </w:rPr>
        <w:t xml:space="preserve"> NDC mitigation</w:t>
      </w:r>
      <w:r w:rsidR="008C7B23" w:rsidRPr="00DA5119">
        <w:rPr>
          <w:lang w:val="en-US"/>
        </w:rPr>
        <w:t xml:space="preserve"> strategy (NDC_2DC_LessCH4+SLCF) can potentially lead to substantially higher emission reductions than SLCF policy </w:t>
      </w:r>
      <w:r w:rsidR="00811CD5" w:rsidRPr="00DA5119">
        <w:rPr>
          <w:lang w:val="en-US"/>
        </w:rPr>
        <w:t>combined with a multi-GHG focused NDC mitigation strategy (NDC_2DC+SLCF). In theory, this difference could be up to 100% higher (in 2050), however, note that this could only occur if no non-CO</w:t>
      </w:r>
      <w:r w:rsidR="00811CD5" w:rsidRPr="00DA5119">
        <w:rPr>
          <w:vertAlign w:val="subscript"/>
          <w:lang w:val="en-US"/>
        </w:rPr>
        <w:t>2</w:t>
      </w:r>
      <w:r w:rsidR="00811CD5" w:rsidRPr="00DA5119">
        <w:rPr>
          <w:lang w:val="en-US"/>
        </w:rPr>
        <w:t xml:space="preserve"> policy whatsoever would be implemented, which is highly unlikely. </w:t>
      </w:r>
    </w:p>
    <w:p w14:paraId="0EB82857" w14:textId="30ED31F5" w:rsidR="00811CD5" w:rsidRPr="00DA5119" w:rsidRDefault="00811CD5" w:rsidP="00DA5119">
      <w:pPr>
        <w:pStyle w:val="ListParagraph"/>
        <w:numPr>
          <w:ilvl w:val="0"/>
          <w:numId w:val="12"/>
        </w:numPr>
        <w:ind w:left="-90"/>
        <w:jc w:val="both"/>
        <w:rPr>
          <w:lang w:val="en-US"/>
        </w:rPr>
      </w:pPr>
      <w:r w:rsidRPr="00DA5119">
        <w:rPr>
          <w:lang w:val="en-US"/>
        </w:rPr>
        <w:lastRenderedPageBreak/>
        <w:t xml:space="preserve">There are two causes for the higher potential: 1) </w:t>
      </w:r>
      <w:r w:rsidR="00E53019" w:rsidRPr="00DA5119">
        <w:rPr>
          <w:lang w:val="en-US"/>
        </w:rPr>
        <w:t>GMT in the mitigation case is lower:</w:t>
      </w:r>
      <w:r w:rsidRPr="00DA5119">
        <w:rPr>
          <w:lang w:val="en-US"/>
        </w:rPr>
        <w:t xml:space="preserve"> In NDC_2DC_LessCH4+SLCF, the net GHG reduction is higher than in NDC_2DC+SLCF, as CO</w:t>
      </w:r>
      <w:r w:rsidRPr="00DA5119">
        <w:rPr>
          <w:vertAlign w:val="subscript"/>
          <w:lang w:val="en-US"/>
        </w:rPr>
        <w:t>2</w:t>
      </w:r>
      <w:r w:rsidRPr="00DA5119">
        <w:rPr>
          <w:lang w:val="en-US"/>
        </w:rPr>
        <w:t xml:space="preserve"> mitigation is stronger</w:t>
      </w:r>
      <w:r w:rsidR="00E53019" w:rsidRPr="00DA5119">
        <w:rPr>
          <w:lang w:val="en-US"/>
        </w:rPr>
        <w:t xml:space="preserve"> and</w:t>
      </w:r>
      <w:r w:rsidRPr="00DA5119">
        <w:rPr>
          <w:lang w:val="en-US"/>
        </w:rPr>
        <w:t xml:space="preserve"> non-CO</w:t>
      </w:r>
      <w:r w:rsidRPr="00DA5119">
        <w:rPr>
          <w:vertAlign w:val="subscript"/>
          <w:lang w:val="en-US"/>
        </w:rPr>
        <w:t>2</w:t>
      </w:r>
      <w:r w:rsidRPr="00DA5119">
        <w:rPr>
          <w:lang w:val="en-US"/>
        </w:rPr>
        <w:t xml:space="preserve"> mitigation is the same. 2)</w:t>
      </w:r>
      <w:r w:rsidR="00E53019" w:rsidRPr="00DA5119">
        <w:rPr>
          <w:lang w:val="en-US"/>
        </w:rPr>
        <w:t xml:space="preserve"> GMT in the reference case is higher</w:t>
      </w:r>
      <w:r w:rsidR="006B1503" w:rsidRPr="00DA5119">
        <w:rPr>
          <w:lang w:val="en-US"/>
        </w:rPr>
        <w:t xml:space="preserve"> (largest effect)</w:t>
      </w:r>
      <w:r w:rsidR="00E53019" w:rsidRPr="00DA5119">
        <w:rPr>
          <w:lang w:val="en-US"/>
        </w:rPr>
        <w:t>: In NDC_2DC_LessCH4, without SLCF policy, GMT is higher mainly due to less CH</w:t>
      </w:r>
      <w:r w:rsidR="00E53019" w:rsidRPr="00DA5119">
        <w:rPr>
          <w:vertAlign w:val="subscript"/>
          <w:lang w:val="en-US"/>
        </w:rPr>
        <w:t>4</w:t>
      </w:r>
      <w:r w:rsidR="00E53019" w:rsidRPr="00DA5119">
        <w:rPr>
          <w:lang w:val="en-US"/>
        </w:rPr>
        <w:t xml:space="preserve"> mitigation. This higher GMT has a positive feedback on the CO</w:t>
      </w:r>
      <w:r w:rsidR="00E53019" w:rsidRPr="00DA5119">
        <w:rPr>
          <w:vertAlign w:val="subscript"/>
          <w:lang w:val="en-US"/>
        </w:rPr>
        <w:t>2</w:t>
      </w:r>
      <w:r w:rsidR="00E53019" w:rsidRPr="00DA5119">
        <w:rPr>
          <w:lang w:val="en-US"/>
        </w:rPr>
        <w:t xml:space="preserve"> concentration through less vegetation growth. Despite lower CO</w:t>
      </w:r>
      <w:r w:rsidR="00E53019" w:rsidRPr="00DA5119">
        <w:rPr>
          <w:vertAlign w:val="subscript"/>
          <w:lang w:val="en-US"/>
        </w:rPr>
        <w:t>2</w:t>
      </w:r>
      <w:r w:rsidR="00E53019" w:rsidRPr="00DA5119">
        <w:rPr>
          <w:lang w:val="en-US"/>
        </w:rPr>
        <w:t xml:space="preserve"> emissions, the CO</w:t>
      </w:r>
      <w:r w:rsidR="00E53019" w:rsidRPr="00DA5119">
        <w:rPr>
          <w:vertAlign w:val="subscript"/>
          <w:lang w:val="en-US"/>
        </w:rPr>
        <w:t>2</w:t>
      </w:r>
      <w:r w:rsidR="00E53019" w:rsidRPr="00DA5119">
        <w:rPr>
          <w:lang w:val="en-US"/>
        </w:rPr>
        <w:t xml:space="preserve"> concentration is therefore slightly higher than in </w:t>
      </w:r>
      <w:r w:rsidR="008E21A8" w:rsidRPr="00DA5119">
        <w:rPr>
          <w:lang w:val="en-US"/>
        </w:rPr>
        <w:t>NDC_2DC.</w:t>
      </w:r>
    </w:p>
    <w:p w14:paraId="73FF6EC0" w14:textId="3598F03E" w:rsidR="00811CD5" w:rsidRPr="00DA5119" w:rsidRDefault="008E21A8" w:rsidP="00DA5119">
      <w:pPr>
        <w:pStyle w:val="ListParagraph"/>
        <w:numPr>
          <w:ilvl w:val="0"/>
          <w:numId w:val="12"/>
        </w:numPr>
        <w:ind w:left="-90"/>
        <w:jc w:val="both"/>
        <w:rPr>
          <w:lang w:val="en-US"/>
        </w:rPr>
      </w:pPr>
      <w:r w:rsidRPr="00DA5119">
        <w:rPr>
          <w:lang w:val="en-US"/>
        </w:rPr>
        <w:t xml:space="preserve">For the same reason, the peak GMT lowering potential </w:t>
      </w:r>
      <w:r w:rsidR="006B1503" w:rsidRPr="00DA5119">
        <w:rPr>
          <w:lang w:val="en-US"/>
        </w:rPr>
        <w:t>could also be significantly higher (up to 108%) in case of a very strong CO</w:t>
      </w:r>
      <w:r w:rsidR="006B1503" w:rsidRPr="00DA5119">
        <w:rPr>
          <w:vertAlign w:val="subscript"/>
          <w:lang w:val="en-US"/>
        </w:rPr>
        <w:t>2</w:t>
      </w:r>
      <w:r w:rsidR="006B1503" w:rsidRPr="00DA5119">
        <w:rPr>
          <w:lang w:val="en-US"/>
        </w:rPr>
        <w:t xml:space="preserve"> focused reference case (NDC_2DC_LessCH4): 0.034 degC as opposed to 0.016 degC with the conventional reference (NDC_2DC).</w:t>
      </w:r>
    </w:p>
    <w:p w14:paraId="33C0C295" w14:textId="77777777" w:rsidR="008E21A8" w:rsidRPr="00DA5119" w:rsidRDefault="008E21A8" w:rsidP="00DA5119">
      <w:pPr>
        <w:pStyle w:val="ListParagraph"/>
        <w:ind w:left="-90"/>
        <w:jc w:val="both"/>
        <w:rPr>
          <w:lang w:val="en-US"/>
        </w:rPr>
      </w:pPr>
    </w:p>
    <w:p w14:paraId="41882F38" w14:textId="68AD0F24" w:rsidR="00D644E1" w:rsidRPr="00DA5119" w:rsidRDefault="006B1503" w:rsidP="00DA5119">
      <w:pPr>
        <w:pStyle w:val="ListParagraph"/>
        <w:numPr>
          <w:ilvl w:val="0"/>
          <w:numId w:val="12"/>
        </w:numPr>
        <w:ind w:left="-90"/>
        <w:jc w:val="both"/>
        <w:rPr>
          <w:lang w:val="en-US"/>
        </w:rPr>
      </w:pPr>
      <w:r w:rsidRPr="00DA5119">
        <w:rPr>
          <w:lang w:val="en-US"/>
        </w:rPr>
        <w:t>T</w:t>
      </w:r>
      <w:r w:rsidR="00ED16DF" w:rsidRPr="00DA5119">
        <w:rPr>
          <w:lang w:val="en-US"/>
        </w:rPr>
        <w:t xml:space="preserve">he potential model error in </w:t>
      </w:r>
      <w:r w:rsidR="007C5372" w:rsidRPr="00DA5119">
        <w:rPr>
          <w:lang w:val="en-US"/>
        </w:rPr>
        <w:t>underestimating the</w:t>
      </w:r>
      <w:r w:rsidR="00AF5981" w:rsidRPr="00DA5119">
        <w:rPr>
          <w:lang w:val="en-US"/>
        </w:rPr>
        <w:t xml:space="preserve"> minimum </w:t>
      </w:r>
      <w:r w:rsidR="00D13FDD" w:rsidRPr="00DA5119">
        <w:rPr>
          <w:lang w:val="en-US"/>
        </w:rPr>
        <w:t>GMT</w:t>
      </w:r>
      <w:r w:rsidR="00AF5981" w:rsidRPr="00DA5119">
        <w:rPr>
          <w:lang w:val="en-US"/>
        </w:rPr>
        <w:t xml:space="preserve"> in the</w:t>
      </w:r>
      <w:r w:rsidR="007C5372" w:rsidRPr="00DA5119">
        <w:rPr>
          <w:lang w:val="en-US"/>
        </w:rPr>
        <w:t xml:space="preserve"> </w:t>
      </w:r>
      <w:r w:rsidR="00AF5981" w:rsidRPr="00DA5119">
        <w:rPr>
          <w:lang w:val="en-US"/>
        </w:rPr>
        <w:t xml:space="preserve">scenarios with additional </w:t>
      </w:r>
      <w:r w:rsidR="00ED16DF" w:rsidRPr="00DA5119">
        <w:rPr>
          <w:lang w:val="en-US"/>
        </w:rPr>
        <w:t>SLCF</w:t>
      </w:r>
      <w:r w:rsidR="00AF5981" w:rsidRPr="00DA5119">
        <w:rPr>
          <w:lang w:val="en-US"/>
        </w:rPr>
        <w:t xml:space="preserve"> policy</w:t>
      </w:r>
      <w:r w:rsidR="007C5372" w:rsidRPr="00DA5119">
        <w:rPr>
          <w:lang w:val="en-US"/>
        </w:rPr>
        <w:t xml:space="preserve"> is small</w:t>
      </w:r>
      <w:r w:rsidRPr="00DA5119">
        <w:rPr>
          <w:lang w:val="en-US"/>
        </w:rPr>
        <w:t>,</w:t>
      </w:r>
      <w:r w:rsidR="007C5372" w:rsidRPr="00DA5119">
        <w:rPr>
          <w:lang w:val="en-US"/>
        </w:rPr>
        <w:t xml:space="preserve"> implying that the</w:t>
      </w:r>
      <w:r w:rsidRPr="00DA5119">
        <w:rPr>
          <w:lang w:val="en-US"/>
        </w:rPr>
        <w:t xml:space="preserve"> GMT results in the SLCF scenarios in this</w:t>
      </w:r>
      <w:r w:rsidR="00384668" w:rsidRPr="00DA5119">
        <w:rPr>
          <w:lang w:val="en-US"/>
        </w:rPr>
        <w:t xml:space="preserve"> study are robus</w:t>
      </w:r>
      <w:r w:rsidRPr="00DA5119">
        <w:rPr>
          <w:lang w:val="en-US"/>
        </w:rPr>
        <w:t>t, and would not change much in case of a more CO</w:t>
      </w:r>
      <w:r w:rsidRPr="00DA5119">
        <w:rPr>
          <w:vertAlign w:val="subscript"/>
          <w:lang w:val="en-US"/>
        </w:rPr>
        <w:t>2</w:t>
      </w:r>
      <w:r w:rsidRPr="00DA5119">
        <w:rPr>
          <w:lang w:val="en-US"/>
        </w:rPr>
        <w:t xml:space="preserve"> focused NDC reference case</w:t>
      </w:r>
      <w:r w:rsidR="00384668" w:rsidRPr="00DA5119">
        <w:rPr>
          <w:lang w:val="en-US"/>
        </w:rPr>
        <w:t xml:space="preserve">. </w:t>
      </w:r>
    </w:p>
    <w:p w14:paraId="042DEAEB" w14:textId="56B6751C" w:rsidR="000650D7" w:rsidRPr="00DA5119" w:rsidRDefault="00384668" w:rsidP="00DA5119">
      <w:pPr>
        <w:pStyle w:val="ListParagraph"/>
        <w:numPr>
          <w:ilvl w:val="0"/>
          <w:numId w:val="12"/>
        </w:numPr>
        <w:ind w:left="-90"/>
        <w:jc w:val="both"/>
        <w:rPr>
          <w:lang w:val="en-US"/>
        </w:rPr>
      </w:pPr>
      <w:r w:rsidRPr="00DA5119">
        <w:rPr>
          <w:lang w:val="en-US"/>
        </w:rPr>
        <w:t xml:space="preserve">In the continued </w:t>
      </w:r>
      <w:r w:rsidR="002E155C" w:rsidRPr="00DA5119">
        <w:rPr>
          <w:lang w:val="en-US"/>
        </w:rPr>
        <w:t>NDC</w:t>
      </w:r>
      <w:r w:rsidRPr="00DA5119">
        <w:rPr>
          <w:lang w:val="en-US"/>
        </w:rPr>
        <w:t xml:space="preserve"> case, t</w:t>
      </w:r>
      <w:r w:rsidR="009626AD" w:rsidRPr="00DA5119">
        <w:rPr>
          <w:lang w:val="en-US"/>
        </w:rPr>
        <w:t>he temperature difference between the two cases increases in time (0.01 degrees C in 2040, 0.03 degrees C in 2060</w:t>
      </w:r>
      <w:r w:rsidR="000650D7" w:rsidRPr="00DA5119">
        <w:rPr>
          <w:lang w:val="en-US"/>
        </w:rPr>
        <w:t xml:space="preserve">). In the </w:t>
      </w:r>
      <w:r w:rsidR="002E155C" w:rsidRPr="00DA5119">
        <w:rPr>
          <w:lang w:val="en-US"/>
        </w:rPr>
        <w:t>NDC</w:t>
      </w:r>
      <w:r w:rsidR="000650D7" w:rsidRPr="00DA5119">
        <w:rPr>
          <w:lang w:val="en-US"/>
        </w:rPr>
        <w:t xml:space="preserve"> + 2dC case</w:t>
      </w:r>
      <w:r w:rsidR="006B1503" w:rsidRPr="00DA5119">
        <w:rPr>
          <w:lang w:val="en-US"/>
        </w:rPr>
        <w:t xml:space="preserve"> (most relevant due to the peak GMT reduction potential)</w:t>
      </w:r>
      <w:r w:rsidR="000650D7" w:rsidRPr="00DA5119">
        <w:rPr>
          <w:lang w:val="en-US"/>
        </w:rPr>
        <w:t xml:space="preserve"> the difference between </w:t>
      </w:r>
      <w:r w:rsidR="009A15C7" w:rsidRPr="00DA5119">
        <w:rPr>
          <w:lang w:val="en-US"/>
        </w:rPr>
        <w:t>CO</w:t>
      </w:r>
      <w:r w:rsidR="009A15C7" w:rsidRPr="00DA5119">
        <w:rPr>
          <w:vertAlign w:val="subscript"/>
          <w:lang w:val="en-US"/>
        </w:rPr>
        <w:t>2</w:t>
      </w:r>
      <w:r w:rsidR="009A15C7" w:rsidRPr="00DA5119">
        <w:rPr>
          <w:lang w:val="en-US"/>
        </w:rPr>
        <w:t xml:space="preserve"> focused and multi-GHG focused (NDC_2DC_LessCH4+SLCF and NDC_2DC_+SLCF)</w:t>
      </w:r>
      <w:r w:rsidR="00114250" w:rsidRPr="00DA5119">
        <w:rPr>
          <w:lang w:val="en-US"/>
        </w:rPr>
        <w:t xml:space="preserve"> is never more than 0.008</w:t>
      </w:r>
      <w:r w:rsidR="000650D7" w:rsidRPr="00DA5119">
        <w:rPr>
          <w:lang w:val="en-US"/>
        </w:rPr>
        <w:t xml:space="preserve"> degrees.</w:t>
      </w:r>
      <w:r w:rsidR="00135170" w:rsidRPr="00DA5119">
        <w:rPr>
          <w:lang w:val="en-US"/>
        </w:rPr>
        <w:t xml:space="preserve"> Largely this is due to the CO</w:t>
      </w:r>
      <w:r w:rsidR="00135170" w:rsidRPr="00DA5119">
        <w:rPr>
          <w:vertAlign w:val="subscript"/>
          <w:lang w:val="en-US"/>
        </w:rPr>
        <w:t>2</w:t>
      </w:r>
      <w:r w:rsidR="00135170" w:rsidRPr="00DA5119">
        <w:rPr>
          <w:lang w:val="en-US"/>
        </w:rPr>
        <w:t xml:space="preserve"> indirect effect, which reduces about half of the CH</w:t>
      </w:r>
      <w:r w:rsidR="00135170" w:rsidRPr="00DA5119">
        <w:rPr>
          <w:vertAlign w:val="subscript"/>
          <w:lang w:val="en-US"/>
        </w:rPr>
        <w:t>4</w:t>
      </w:r>
      <w:r w:rsidR="00135170" w:rsidRPr="00DA5119">
        <w:rPr>
          <w:lang w:val="en-US"/>
        </w:rPr>
        <w:t xml:space="preserve"> emissions that can be abated.</w:t>
      </w:r>
    </w:p>
    <w:p w14:paraId="287969FA" w14:textId="3E050719" w:rsidR="009626AD" w:rsidRPr="00DA5119" w:rsidRDefault="000650D7" w:rsidP="00DA5119">
      <w:pPr>
        <w:pStyle w:val="ListParagraph"/>
        <w:numPr>
          <w:ilvl w:val="0"/>
          <w:numId w:val="12"/>
        </w:numPr>
        <w:ind w:left="-90"/>
        <w:jc w:val="both"/>
        <w:rPr>
          <w:lang w:val="en-US"/>
        </w:rPr>
      </w:pPr>
      <w:r w:rsidRPr="00DA5119">
        <w:rPr>
          <w:lang w:val="en-US"/>
        </w:rPr>
        <w:t>T</w:t>
      </w:r>
      <w:r w:rsidR="009626AD" w:rsidRPr="00DA5119">
        <w:rPr>
          <w:lang w:val="en-US"/>
        </w:rPr>
        <w:t xml:space="preserve">he maximum temperature rate of change hardly differs between the two scenarios. </w:t>
      </w:r>
      <w:r w:rsidR="006E0366" w:rsidRPr="00DA5119">
        <w:rPr>
          <w:lang w:val="en-US"/>
        </w:rPr>
        <w:t>In</w:t>
      </w:r>
      <w:r w:rsidRPr="00DA5119">
        <w:rPr>
          <w:lang w:val="en-US"/>
        </w:rPr>
        <w:t xml:space="preserve"> fact</w:t>
      </w:r>
      <w:r w:rsidR="006E0366" w:rsidRPr="00DA5119">
        <w:rPr>
          <w:lang w:val="en-US"/>
        </w:rPr>
        <w:t>,</w:t>
      </w:r>
      <w:r w:rsidRPr="00DA5119">
        <w:rPr>
          <w:lang w:val="en-US"/>
        </w:rPr>
        <w:t xml:space="preserve"> it is projected to be v</w:t>
      </w:r>
      <w:r w:rsidR="009626AD" w:rsidRPr="00DA5119">
        <w:rPr>
          <w:lang w:val="en-US"/>
        </w:rPr>
        <w:t xml:space="preserve">irtually equal in both scenarios: 0.026 </w:t>
      </w:r>
      <w:r w:rsidR="009626AD" w:rsidRPr="00DA5119">
        <w:rPr>
          <w:vertAlign w:val="superscript"/>
          <w:lang w:val="en-US"/>
        </w:rPr>
        <w:t>o</w:t>
      </w:r>
      <w:r w:rsidR="009626AD" w:rsidRPr="00DA5119">
        <w:rPr>
          <w:lang w:val="en-US"/>
        </w:rPr>
        <w:t>C/year</w:t>
      </w:r>
      <w:r w:rsidRPr="00DA5119">
        <w:rPr>
          <w:lang w:val="en-US"/>
        </w:rPr>
        <w:t>.</w:t>
      </w:r>
      <w:r w:rsidR="009626AD" w:rsidRPr="00DA5119">
        <w:rPr>
          <w:lang w:val="en-US"/>
        </w:rPr>
        <w:t xml:space="preserve"> This is estimated to occur in 2020 when the emission reductions are still limited in both scenarios.</w:t>
      </w:r>
    </w:p>
    <w:p w14:paraId="2A5E5BEE" w14:textId="2C8B6D71" w:rsidR="000650D7" w:rsidRPr="00DA5119" w:rsidRDefault="000650D7" w:rsidP="00DA5119">
      <w:pPr>
        <w:pStyle w:val="ListParagraph"/>
        <w:numPr>
          <w:ilvl w:val="0"/>
          <w:numId w:val="12"/>
        </w:numPr>
        <w:ind w:left="-90"/>
        <w:jc w:val="both"/>
        <w:rPr>
          <w:lang w:val="en-US"/>
        </w:rPr>
      </w:pPr>
      <w:r w:rsidRPr="00DA5119">
        <w:rPr>
          <w:lang w:val="en-US"/>
        </w:rPr>
        <w:t xml:space="preserve">The continued </w:t>
      </w:r>
      <w:r w:rsidR="002E155C" w:rsidRPr="00DA5119">
        <w:rPr>
          <w:lang w:val="en-US"/>
        </w:rPr>
        <w:t>NDC</w:t>
      </w:r>
      <w:r w:rsidRPr="00DA5119">
        <w:rPr>
          <w:lang w:val="en-US"/>
        </w:rPr>
        <w:t xml:space="preserve"> case also shows that d</w:t>
      </w:r>
      <w:r w:rsidR="00ED16DF" w:rsidRPr="00DA5119">
        <w:rPr>
          <w:lang w:val="en-US"/>
        </w:rPr>
        <w:t xml:space="preserve">ue to the </w:t>
      </w:r>
      <w:r w:rsidR="00D12CCE" w:rsidRPr="00DA5119">
        <w:rPr>
          <w:lang w:val="en-US"/>
        </w:rPr>
        <w:t>higher</w:t>
      </w:r>
      <w:r w:rsidRPr="00DA5119">
        <w:rPr>
          <w:lang w:val="en-US"/>
        </w:rPr>
        <w:t xml:space="preserve"> assumed</w:t>
      </w:r>
      <w:r w:rsidR="00D12CCE" w:rsidRPr="00DA5119">
        <w:rPr>
          <w:lang w:val="en-US"/>
        </w:rPr>
        <w:t xml:space="preserve"> CO</w:t>
      </w:r>
      <w:r w:rsidR="00D12CCE" w:rsidRPr="00DA5119">
        <w:rPr>
          <w:vertAlign w:val="subscript"/>
          <w:lang w:val="en-US"/>
        </w:rPr>
        <w:t>2</w:t>
      </w:r>
      <w:r w:rsidR="00D12CCE" w:rsidRPr="00DA5119">
        <w:rPr>
          <w:lang w:val="en-US"/>
        </w:rPr>
        <w:t xml:space="preserve"> reduction</w:t>
      </w:r>
      <w:r w:rsidRPr="00DA5119">
        <w:rPr>
          <w:lang w:val="en-US"/>
        </w:rPr>
        <w:t xml:space="preserve"> in </w:t>
      </w:r>
      <w:r w:rsidR="002E155C" w:rsidRPr="00DA5119">
        <w:rPr>
          <w:lang w:val="en-US"/>
        </w:rPr>
        <w:t>NDC</w:t>
      </w:r>
      <w:r w:rsidRPr="00DA5119">
        <w:rPr>
          <w:lang w:val="en-US"/>
        </w:rPr>
        <w:t>_LessCH4+SLCF, long-term cumulative CO</w:t>
      </w:r>
      <w:r w:rsidRPr="00DA5119">
        <w:rPr>
          <w:vertAlign w:val="subscript"/>
          <w:lang w:val="en-US"/>
        </w:rPr>
        <w:t>2</w:t>
      </w:r>
      <w:r w:rsidRPr="00DA5119">
        <w:rPr>
          <w:lang w:val="en-US"/>
        </w:rPr>
        <w:t xml:space="preserve"> emissions are lower, leading to lower temperatures in the long term.</w:t>
      </w:r>
    </w:p>
    <w:p w14:paraId="4286A4A1" w14:textId="2FD217A7" w:rsidR="00AD49EB" w:rsidRPr="00DA5119" w:rsidRDefault="00BE405D" w:rsidP="00DA5119">
      <w:pPr>
        <w:ind w:left="-90"/>
        <w:rPr>
          <w:rFonts w:eastAsiaTheme="minorHAnsi"/>
          <w:lang w:val="en-US"/>
        </w:rPr>
      </w:pPr>
      <w:r w:rsidRPr="00DA5119">
        <w:rPr>
          <w:rFonts w:eastAsiaTheme="minorHAnsi"/>
          <w:b/>
          <w:sz w:val="20"/>
          <w:szCs w:val="20"/>
          <w:lang w:val="en-US"/>
        </w:rPr>
        <w:t>F</w:t>
      </w:r>
      <w:r w:rsidR="00CC6F1F" w:rsidRPr="00DA5119">
        <w:rPr>
          <w:rFonts w:eastAsiaTheme="minorHAnsi"/>
          <w:b/>
          <w:sz w:val="20"/>
          <w:szCs w:val="20"/>
          <w:lang w:val="en-US"/>
        </w:rPr>
        <w:t>igure S</w:t>
      </w:r>
      <w:r w:rsidR="00B26B45" w:rsidRPr="00DA5119">
        <w:rPr>
          <w:rFonts w:eastAsiaTheme="minorHAnsi"/>
          <w:b/>
          <w:sz w:val="20"/>
          <w:szCs w:val="20"/>
          <w:lang w:val="en-US"/>
        </w:rPr>
        <w:t>9.1</w:t>
      </w:r>
      <w:r w:rsidR="00AD49EB" w:rsidRPr="00DA5119">
        <w:rPr>
          <w:rFonts w:eastAsiaTheme="minorHAnsi"/>
          <w:b/>
          <w:sz w:val="20"/>
          <w:szCs w:val="20"/>
          <w:lang w:val="en-US"/>
        </w:rPr>
        <w:t xml:space="preserve">: </w:t>
      </w:r>
      <w:r w:rsidR="00AD49EB" w:rsidRPr="00DA5119">
        <w:rPr>
          <w:rFonts w:eastAsiaTheme="minorHAnsi"/>
          <w:sz w:val="20"/>
          <w:szCs w:val="20"/>
          <w:lang w:val="en-US"/>
        </w:rPr>
        <w:t xml:space="preserve">Temperature change in </w:t>
      </w:r>
      <w:r w:rsidR="002E155C" w:rsidRPr="00DA5119">
        <w:rPr>
          <w:rFonts w:eastAsiaTheme="minorHAnsi"/>
          <w:sz w:val="20"/>
          <w:szCs w:val="20"/>
          <w:lang w:val="en-US"/>
        </w:rPr>
        <w:t>NDC</w:t>
      </w:r>
      <w:r w:rsidR="00AD49EB" w:rsidRPr="00DA5119">
        <w:rPr>
          <w:rFonts w:eastAsiaTheme="minorHAnsi"/>
          <w:sz w:val="20"/>
          <w:szCs w:val="20"/>
          <w:lang w:val="en-US"/>
        </w:rPr>
        <w:t xml:space="preserve"> scenarios (difference with pre-industrial levels)</w:t>
      </w:r>
      <w:r w:rsidR="00AD49EB" w:rsidRPr="00DA5119">
        <w:rPr>
          <w:rFonts w:eastAsiaTheme="minorHAnsi"/>
          <w:lang w:val="en-US"/>
        </w:rPr>
        <w:t xml:space="preserve"> </w:t>
      </w:r>
      <w:r w:rsidRPr="00DA5119">
        <w:rPr>
          <w:rFonts w:eastAsiaTheme="minorHAnsi"/>
          <w:noProof/>
          <w:lang w:val="nl-NL" w:eastAsia="nl-NL"/>
        </w:rPr>
        <w:drawing>
          <wp:inline distT="0" distB="0" distL="0" distR="0" wp14:anchorId="10B642D3" wp14:editId="53F251EE">
            <wp:extent cx="4400550" cy="3510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6907" cy="3523438"/>
                    </a:xfrm>
                    <a:prstGeom prst="rect">
                      <a:avLst/>
                    </a:prstGeom>
                    <a:noFill/>
                    <a:ln>
                      <a:noFill/>
                    </a:ln>
                  </pic:spPr>
                </pic:pic>
              </a:graphicData>
            </a:graphic>
          </wp:inline>
        </w:drawing>
      </w:r>
    </w:p>
    <w:p w14:paraId="42668CFB" w14:textId="66F826E3" w:rsidR="00AD49EB" w:rsidRPr="00DA5119" w:rsidRDefault="00B26B45" w:rsidP="00DA5119">
      <w:pPr>
        <w:ind w:left="-90"/>
        <w:rPr>
          <w:rFonts w:eastAsiaTheme="minorHAnsi"/>
          <w:sz w:val="20"/>
          <w:szCs w:val="20"/>
          <w:lang w:val="en-US"/>
        </w:rPr>
      </w:pPr>
      <w:r w:rsidRPr="00DA5119">
        <w:rPr>
          <w:rFonts w:eastAsiaTheme="minorHAnsi"/>
          <w:b/>
          <w:sz w:val="20"/>
          <w:szCs w:val="20"/>
          <w:lang w:val="en-US"/>
        </w:rPr>
        <w:t>Figure S9.2</w:t>
      </w:r>
      <w:r w:rsidR="00AD49EB" w:rsidRPr="00DA5119">
        <w:rPr>
          <w:rFonts w:eastAsiaTheme="minorHAnsi"/>
          <w:b/>
          <w:sz w:val="20"/>
          <w:szCs w:val="20"/>
          <w:lang w:val="en-US"/>
        </w:rPr>
        <w:t xml:space="preserve">: </w:t>
      </w:r>
      <w:r w:rsidR="00AD49EB" w:rsidRPr="00DA5119">
        <w:rPr>
          <w:rFonts w:eastAsiaTheme="minorHAnsi"/>
          <w:sz w:val="20"/>
          <w:szCs w:val="20"/>
          <w:lang w:val="en-US"/>
        </w:rPr>
        <w:t xml:space="preserve">Temperature change in </w:t>
      </w:r>
      <w:r w:rsidR="002E155C" w:rsidRPr="00DA5119">
        <w:rPr>
          <w:rFonts w:eastAsiaTheme="minorHAnsi"/>
          <w:sz w:val="20"/>
          <w:szCs w:val="20"/>
          <w:lang w:val="en-US"/>
        </w:rPr>
        <w:t>NDC</w:t>
      </w:r>
      <w:r w:rsidR="00AD49EB" w:rsidRPr="00DA5119">
        <w:rPr>
          <w:rFonts w:eastAsiaTheme="minorHAnsi"/>
          <w:sz w:val="20"/>
          <w:szCs w:val="20"/>
          <w:lang w:val="en-US"/>
        </w:rPr>
        <w:t xml:space="preserve"> + 2d</w:t>
      </w:r>
      <w:r w:rsidR="00740231" w:rsidRPr="00DA5119">
        <w:rPr>
          <w:rFonts w:eastAsiaTheme="minorHAnsi"/>
          <w:sz w:val="20"/>
          <w:szCs w:val="20"/>
          <w:lang w:val="en-US"/>
        </w:rPr>
        <w:t>eg</w:t>
      </w:r>
      <w:r w:rsidR="00AD49EB" w:rsidRPr="00DA5119">
        <w:rPr>
          <w:rFonts w:eastAsiaTheme="minorHAnsi"/>
          <w:sz w:val="20"/>
          <w:szCs w:val="20"/>
          <w:lang w:val="en-US"/>
        </w:rPr>
        <w:t>C scenarios (difference with pre-industrial levels)</w:t>
      </w:r>
    </w:p>
    <w:p w14:paraId="2CAED2DE" w14:textId="481AC0F6" w:rsidR="00C151FF" w:rsidRPr="00DA5119" w:rsidRDefault="00A04CD2" w:rsidP="00DA5119">
      <w:pPr>
        <w:ind w:left="-90"/>
        <w:rPr>
          <w:rFonts w:eastAsiaTheme="minorHAnsi"/>
          <w:sz w:val="20"/>
          <w:szCs w:val="20"/>
          <w:lang w:val="en-US"/>
        </w:rPr>
      </w:pPr>
      <w:r w:rsidRPr="00DA5119">
        <w:rPr>
          <w:rFonts w:eastAsiaTheme="minorHAnsi"/>
          <w:noProof/>
          <w:sz w:val="20"/>
          <w:szCs w:val="20"/>
          <w:lang w:val="nl-NL" w:eastAsia="nl-NL"/>
        </w:rPr>
        <w:lastRenderedPageBreak/>
        <w:drawing>
          <wp:inline distT="0" distB="0" distL="0" distR="0" wp14:anchorId="7B88099F" wp14:editId="5B25E13B">
            <wp:extent cx="4495800" cy="35466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5173" cy="3561887"/>
                    </a:xfrm>
                    <a:prstGeom prst="rect">
                      <a:avLst/>
                    </a:prstGeom>
                    <a:noFill/>
                    <a:ln>
                      <a:noFill/>
                    </a:ln>
                  </pic:spPr>
                </pic:pic>
              </a:graphicData>
            </a:graphic>
          </wp:inline>
        </w:drawing>
      </w:r>
    </w:p>
    <w:p w14:paraId="2AF2929D" w14:textId="77777777" w:rsidR="007E245A" w:rsidRPr="00DA5119" w:rsidRDefault="007E245A" w:rsidP="00DA5119">
      <w:pPr>
        <w:ind w:left="-90"/>
        <w:rPr>
          <w:rFonts w:eastAsiaTheme="minorHAnsi"/>
          <w:b/>
          <w:sz w:val="20"/>
          <w:szCs w:val="20"/>
          <w:lang w:val="en-US"/>
        </w:rPr>
      </w:pPr>
      <w:r w:rsidRPr="00DA5119">
        <w:rPr>
          <w:rFonts w:eastAsiaTheme="minorHAnsi"/>
          <w:b/>
          <w:sz w:val="20"/>
          <w:szCs w:val="20"/>
          <w:lang w:val="en-US"/>
        </w:rPr>
        <w:br w:type="page"/>
      </w:r>
    </w:p>
    <w:p w14:paraId="45696633" w14:textId="3BFDBAEC" w:rsidR="007E245A" w:rsidRPr="00DA5119" w:rsidRDefault="007E245A" w:rsidP="00DA5119">
      <w:pPr>
        <w:ind w:left="-90"/>
        <w:rPr>
          <w:rFonts w:eastAsiaTheme="minorHAnsi"/>
          <w:sz w:val="20"/>
          <w:szCs w:val="20"/>
          <w:lang w:val="en-US"/>
        </w:rPr>
      </w:pPr>
      <w:r w:rsidRPr="00DA5119">
        <w:rPr>
          <w:rFonts w:eastAsiaTheme="minorHAnsi"/>
          <w:b/>
          <w:sz w:val="20"/>
          <w:szCs w:val="20"/>
          <w:lang w:val="en-US"/>
        </w:rPr>
        <w:lastRenderedPageBreak/>
        <w:t>Figure S9.3</w:t>
      </w:r>
      <w:r w:rsidRPr="00DA5119">
        <w:rPr>
          <w:rFonts w:eastAsiaTheme="minorHAnsi"/>
          <w:sz w:val="20"/>
          <w:szCs w:val="20"/>
          <w:lang w:val="en-US"/>
        </w:rPr>
        <w:t>: GMT reducing effect of SLCF</w:t>
      </w:r>
      <w:r w:rsidR="00162DB1" w:rsidRPr="00DA5119">
        <w:rPr>
          <w:rFonts w:eastAsiaTheme="minorHAnsi"/>
          <w:sz w:val="20"/>
          <w:szCs w:val="20"/>
          <w:lang w:val="en-US"/>
        </w:rPr>
        <w:t xml:space="preserve"> policy in the NDC_2degC case. The "LessCH4" scenario</w:t>
      </w:r>
      <w:r w:rsidRPr="00DA5119">
        <w:rPr>
          <w:rFonts w:eastAsiaTheme="minorHAnsi"/>
          <w:sz w:val="20"/>
          <w:szCs w:val="20"/>
          <w:lang w:val="en-US"/>
        </w:rPr>
        <w:t xml:space="preserve"> represent</w:t>
      </w:r>
      <w:r w:rsidR="00162DB1" w:rsidRPr="00DA5119">
        <w:rPr>
          <w:rFonts w:eastAsiaTheme="minorHAnsi"/>
          <w:sz w:val="20"/>
          <w:szCs w:val="20"/>
          <w:lang w:val="en-US"/>
        </w:rPr>
        <w:t>s</w:t>
      </w:r>
      <w:r w:rsidRPr="00DA5119">
        <w:rPr>
          <w:rFonts w:eastAsiaTheme="minorHAnsi"/>
          <w:sz w:val="20"/>
          <w:szCs w:val="20"/>
          <w:lang w:val="en-US"/>
        </w:rPr>
        <w:t xml:space="preserve"> more CO</w:t>
      </w:r>
      <w:r w:rsidRPr="00DA5119">
        <w:rPr>
          <w:rFonts w:eastAsiaTheme="minorHAnsi"/>
          <w:sz w:val="20"/>
          <w:szCs w:val="20"/>
          <w:vertAlign w:val="subscript"/>
          <w:lang w:val="en-US"/>
        </w:rPr>
        <w:t>2</w:t>
      </w:r>
      <w:r w:rsidRPr="00DA5119">
        <w:rPr>
          <w:rFonts w:eastAsiaTheme="minorHAnsi"/>
          <w:sz w:val="20"/>
          <w:szCs w:val="20"/>
          <w:lang w:val="en-US"/>
        </w:rPr>
        <w:t xml:space="preserve"> oriented climate policy </w:t>
      </w:r>
      <w:r w:rsidR="00162DB1" w:rsidRPr="00DA5119">
        <w:rPr>
          <w:rFonts w:eastAsiaTheme="minorHAnsi"/>
          <w:sz w:val="20"/>
          <w:szCs w:val="20"/>
          <w:lang w:val="en-US"/>
        </w:rPr>
        <w:t>until 2030</w:t>
      </w:r>
    </w:p>
    <w:p w14:paraId="276B96E4" w14:textId="77777777" w:rsidR="009414AE" w:rsidRPr="00DA5119" w:rsidRDefault="007E245A" w:rsidP="00DA5119">
      <w:pPr>
        <w:ind w:left="-90"/>
        <w:rPr>
          <w:lang w:val="en-US"/>
        </w:rPr>
      </w:pPr>
      <w:r w:rsidRPr="00DA5119">
        <w:rPr>
          <w:lang w:val="en-US"/>
        </w:rPr>
        <w:t xml:space="preserve"> </w:t>
      </w:r>
      <w:r w:rsidR="009A4C83" w:rsidRPr="00DA5119">
        <w:rPr>
          <w:noProof/>
          <w:lang w:val="nl-NL" w:eastAsia="nl-NL"/>
        </w:rPr>
        <w:drawing>
          <wp:inline distT="0" distB="0" distL="0" distR="0" wp14:anchorId="4AA5E6BC" wp14:editId="68ED808C">
            <wp:extent cx="4562475" cy="2733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r w:rsidR="005162F6" w:rsidRPr="00DA5119">
        <w:rPr>
          <w:lang w:val="en-US"/>
        </w:rPr>
        <w:t xml:space="preserve"> </w:t>
      </w:r>
    </w:p>
    <w:p w14:paraId="3EE1C4A0" w14:textId="77777777" w:rsidR="009414AE" w:rsidRPr="00DA5119" w:rsidRDefault="009414AE" w:rsidP="00DA5119">
      <w:pPr>
        <w:ind w:left="-90"/>
        <w:rPr>
          <w:lang w:val="en-US"/>
        </w:rPr>
      </w:pPr>
      <w:r w:rsidRPr="00DA5119">
        <w:rPr>
          <w:lang w:val="en-US"/>
        </w:rPr>
        <w:br w:type="page"/>
      </w:r>
    </w:p>
    <w:p w14:paraId="382066A4" w14:textId="0905A5D7" w:rsidR="009414AE" w:rsidRPr="00DA5119" w:rsidRDefault="009414AE" w:rsidP="00DA5119">
      <w:pPr>
        <w:pStyle w:val="Heading3"/>
        <w:ind w:left="-90"/>
        <w:rPr>
          <w:rFonts w:asciiTheme="minorHAnsi" w:hAnsiTheme="minorHAnsi"/>
          <w:lang w:val="en-US"/>
        </w:rPr>
      </w:pPr>
      <w:r w:rsidRPr="00DA5119">
        <w:rPr>
          <w:rFonts w:asciiTheme="minorHAnsi" w:hAnsiTheme="minorHAnsi"/>
          <w:lang w:val="en-US"/>
        </w:rPr>
        <w:lastRenderedPageBreak/>
        <w:t>S10 Uncertainly analysis probabilistic MAGICC</w:t>
      </w:r>
    </w:p>
    <w:p w14:paraId="4E0E61CB" w14:textId="77777777" w:rsidR="009414AE" w:rsidRPr="00DA5119" w:rsidRDefault="009414AE" w:rsidP="00DA5119">
      <w:pPr>
        <w:ind w:left="-90"/>
        <w:rPr>
          <w:lang w:val="en-US"/>
        </w:rPr>
      </w:pPr>
    </w:p>
    <w:p w14:paraId="710BA294" w14:textId="757D8E43" w:rsidR="00FB2A30" w:rsidRPr="00DA5119" w:rsidRDefault="009414AE" w:rsidP="00DA5119">
      <w:pPr>
        <w:ind w:left="-90"/>
        <w:jc w:val="both"/>
        <w:rPr>
          <w:lang w:val="en-US"/>
        </w:rPr>
      </w:pPr>
      <w:r w:rsidRPr="00DA5119">
        <w:rPr>
          <w:lang w:val="en-US"/>
        </w:rPr>
        <w:t>This section describes</w:t>
      </w:r>
      <w:r w:rsidR="009F5ACB" w:rsidRPr="00DA5119">
        <w:rPr>
          <w:lang w:val="en-US"/>
        </w:rPr>
        <w:t xml:space="preserve"> the results of the uncertainty analysis of GMT </w:t>
      </w:r>
      <w:r w:rsidR="000A5116" w:rsidRPr="00DA5119">
        <w:rPr>
          <w:lang w:val="en-US"/>
        </w:rPr>
        <w:t>change in the two 2 degree scenarios (NDC+2degC and NDC+2degC+SLCF)</w:t>
      </w:r>
      <w:r w:rsidR="004B4A96" w:rsidRPr="00DA5119">
        <w:rPr>
          <w:lang w:val="en-US"/>
        </w:rPr>
        <w:t>, as these are most interesting</w:t>
      </w:r>
      <w:r w:rsidR="00F4171D" w:rsidRPr="00DA5119">
        <w:rPr>
          <w:lang w:val="en-US"/>
        </w:rPr>
        <w:t>, considering the potential for lowering peak GMT</w:t>
      </w:r>
      <w:r w:rsidR="000A5116" w:rsidRPr="00DA5119">
        <w:rPr>
          <w:lang w:val="en-US"/>
        </w:rPr>
        <w:t xml:space="preserve">. The GMT </w:t>
      </w:r>
      <w:r w:rsidR="004B4A96" w:rsidRPr="00DA5119">
        <w:rPr>
          <w:lang w:val="en-US"/>
        </w:rPr>
        <w:t>projection</w:t>
      </w:r>
      <w:r w:rsidR="000A5116" w:rsidRPr="00DA5119">
        <w:rPr>
          <w:lang w:val="en-US"/>
        </w:rPr>
        <w:t>s presented in the results section of this paper are based on central assumptions for climate parameters (climate sensitivity, ocean heat diffusion rate and radiative forcing strength of aerosol and GHG species). The potential impact of uncertainty in these parameters has been tested by applying a Monte Carlo analysis using a probabilistic version of MAGICC6</w:t>
      </w:r>
      <w:r w:rsidR="004B4A96" w:rsidRPr="00DA5119">
        <w:rPr>
          <w:lang w:val="en-US"/>
        </w:rPr>
        <w:t>, the simple climate model applied in this study</w:t>
      </w:r>
      <w:r w:rsidR="000A5116" w:rsidRPr="00DA5119">
        <w:rPr>
          <w:lang w:val="en-US"/>
        </w:rPr>
        <w:t xml:space="preserve"> </w:t>
      </w:r>
      <w:r w:rsidR="004B4A96" w:rsidRPr="00DA5119">
        <w:rPr>
          <w:lang w:val="en-US"/>
        </w:rPr>
        <w:fldChar w:fldCharType="begin"/>
      </w:r>
      <w:r w:rsidR="004B4A96" w:rsidRPr="00DA5119">
        <w:rPr>
          <w:lang w:val="en-US"/>
        </w:rPr>
        <w:instrText xml:space="preserve"> ADDIN EN.CITE &lt;EndNote&gt;&lt;Cite&gt;&lt;Author&gt;Meinshausen&lt;/Author&gt;&lt;Year&gt;2011&lt;/Year&gt;&lt;RecNum&gt;12&lt;/RecNum&gt;&lt;DisplayText&gt;(Meinshausen et al., 2011)&lt;/DisplayText&gt;&lt;record&gt;&lt;rec-number&gt;12&lt;/rec-number&gt;&lt;foreign-keys&gt;&lt;key app="EN" db-id="ewxvdw52e55r2gefrsovdxwk0xrz0v2zfp2s" timestamp="1392827045"&gt;12&lt;/key&gt;&lt;/foreign-keys&gt;&lt;ref-type name="Journal Article"&gt;17&lt;/ref-type&gt;&lt;contributors&gt;&lt;authors&gt;&lt;author&gt;Meinshausen, M.&lt;/author&gt;&lt;author&gt;Raper, S.C.B.&lt;/author&gt;&lt;author&gt;Wigley, T.M.L. &lt;/author&gt;&lt;/authors&gt;&lt;/contributors&gt;&lt;titles&gt;&lt;title&gt;Emulating coupled atmosphere-ocean and carbon cycle models with a simpler model, MAGICC6: Part I - model description and calibration&lt;/title&gt;&lt;secondary-title&gt;Atmos. Chem. Phys.&lt;/secondary-title&gt;&lt;/titles&gt;&lt;periodical&gt;&lt;full-title&gt;Atmos. Chem. Phys.&lt;/full-title&gt;&lt;/periodical&gt;&lt;pages&gt;1417–1456&lt;/pages&gt;&lt;volume&gt;11&lt;/volume&gt;&lt;dates&gt;&lt;year&gt;2011&lt;/year&gt;&lt;/dates&gt;&lt;urls&gt;&lt;/urls&gt;&lt;/record&gt;&lt;/Cite&gt;&lt;/EndNote&gt;</w:instrText>
      </w:r>
      <w:r w:rsidR="004B4A96" w:rsidRPr="00DA5119">
        <w:rPr>
          <w:lang w:val="en-US"/>
        </w:rPr>
        <w:fldChar w:fldCharType="separate"/>
      </w:r>
      <w:r w:rsidR="004B4A96" w:rsidRPr="00DA5119">
        <w:rPr>
          <w:noProof/>
          <w:lang w:val="en-US"/>
        </w:rPr>
        <w:t>(</w:t>
      </w:r>
      <w:hyperlink w:anchor="_ENREF_21" w:tooltip="Meinshausen, 2011 #12" w:history="1">
        <w:r w:rsidR="00884561" w:rsidRPr="00DA5119">
          <w:rPr>
            <w:noProof/>
            <w:lang w:val="en-US"/>
          </w:rPr>
          <w:t>Meinshausen et al., 2011</w:t>
        </w:r>
      </w:hyperlink>
      <w:r w:rsidR="004B4A96" w:rsidRPr="00DA5119">
        <w:rPr>
          <w:noProof/>
          <w:lang w:val="en-US"/>
        </w:rPr>
        <w:t>)</w:t>
      </w:r>
      <w:r w:rsidR="004B4A96" w:rsidRPr="00DA5119">
        <w:rPr>
          <w:lang w:val="en-US"/>
        </w:rPr>
        <w:fldChar w:fldCharType="end"/>
      </w:r>
      <w:r w:rsidR="00FB2A30" w:rsidRPr="00DA5119">
        <w:rPr>
          <w:lang w:val="en-US"/>
        </w:rPr>
        <w:t xml:space="preserve">. All </w:t>
      </w:r>
      <w:r w:rsidR="004B4A96" w:rsidRPr="00DA5119">
        <w:rPr>
          <w:lang w:val="en-US"/>
        </w:rPr>
        <w:t xml:space="preserve">IAM </w:t>
      </w:r>
      <w:r w:rsidR="00FB2A30" w:rsidRPr="00DA5119">
        <w:rPr>
          <w:lang w:val="en-US"/>
        </w:rPr>
        <w:t xml:space="preserve">model versions of the two 2 degree scenarios have been run with the probabilistic MAGICC model, with 600 cases per scenario that represent alternate configurations of 82 climate model parameters, resulting in a range of possible GMT changes (see Figure </w:t>
      </w:r>
      <w:r w:rsidR="00A52196" w:rsidRPr="00DA5119">
        <w:rPr>
          <w:lang w:val="en-US"/>
        </w:rPr>
        <w:t>S</w:t>
      </w:r>
      <w:r w:rsidR="00FB2A30" w:rsidRPr="00DA5119">
        <w:rPr>
          <w:lang w:val="en-US"/>
        </w:rPr>
        <w:t xml:space="preserve">10.1). </w:t>
      </w:r>
    </w:p>
    <w:p w14:paraId="5ABC8B6D" w14:textId="1EC9F7A5" w:rsidR="00AA17AB" w:rsidRPr="00DA5119" w:rsidRDefault="00B97668" w:rsidP="00DA5119">
      <w:pPr>
        <w:ind w:left="-90"/>
        <w:jc w:val="both"/>
        <w:rPr>
          <w:lang w:val="en-US"/>
        </w:rPr>
      </w:pPr>
      <w:r w:rsidRPr="00DA5119">
        <w:rPr>
          <w:lang w:val="en-US"/>
        </w:rPr>
        <w:t xml:space="preserve">Although the uncertainty in GMT change is very large (with a range in 2040 that is larger than 0.6 </w:t>
      </w:r>
      <w:r w:rsidRPr="00DA5119">
        <w:rPr>
          <w:vertAlign w:val="superscript"/>
          <w:lang w:val="en-US"/>
        </w:rPr>
        <w:t>o</w:t>
      </w:r>
      <w:r w:rsidRPr="00DA5119">
        <w:rPr>
          <w:lang w:val="en-US"/>
        </w:rPr>
        <w:t xml:space="preserve">C for the two scenarios), the GMT difference between the two 2 degree scenarios will likely not exceed 0.13 </w:t>
      </w:r>
      <w:r w:rsidRPr="00DA5119">
        <w:rPr>
          <w:vertAlign w:val="superscript"/>
          <w:lang w:val="en-US"/>
        </w:rPr>
        <w:t>o</w:t>
      </w:r>
      <w:r w:rsidRPr="00DA5119">
        <w:rPr>
          <w:lang w:val="en-US"/>
        </w:rPr>
        <w:t xml:space="preserve">C  (the maximum value found in 2040), when implementing the mitigation measures considered in this study. At the lower end of the range, the GMT difference between the two scenarios is almost neglectable (0.002 </w:t>
      </w:r>
      <w:r w:rsidRPr="00DA5119">
        <w:rPr>
          <w:vertAlign w:val="superscript"/>
          <w:lang w:val="en-US"/>
        </w:rPr>
        <w:t>o</w:t>
      </w:r>
      <w:r w:rsidRPr="00DA5119">
        <w:rPr>
          <w:lang w:val="en-US"/>
        </w:rPr>
        <w:t xml:space="preserve">C). Uncertainly in the GMT peak lowering potential of the SLCF measures is smaller and ranges between 0-0.055 </w:t>
      </w:r>
      <w:r w:rsidRPr="00DA5119">
        <w:rPr>
          <w:vertAlign w:val="superscript"/>
          <w:lang w:val="en-US"/>
        </w:rPr>
        <w:t>o</w:t>
      </w:r>
      <w:r w:rsidRPr="00DA5119">
        <w:rPr>
          <w:lang w:val="en-US"/>
        </w:rPr>
        <w:t>C (largely around the year 2060).</w:t>
      </w:r>
    </w:p>
    <w:p w14:paraId="5BC8409B" w14:textId="4E726737" w:rsidR="009F5ACB" w:rsidRPr="00DA5119" w:rsidRDefault="009F5ACB" w:rsidP="00DA5119">
      <w:pPr>
        <w:ind w:left="-90"/>
        <w:rPr>
          <w:lang w:val="en-US"/>
        </w:rPr>
      </w:pPr>
    </w:p>
    <w:p w14:paraId="15EE8DE9" w14:textId="77777777" w:rsidR="009F5ACB" w:rsidRPr="00DA5119" w:rsidRDefault="009F5ACB" w:rsidP="00DA5119">
      <w:pPr>
        <w:ind w:left="-90"/>
        <w:rPr>
          <w:lang w:val="en-US"/>
        </w:rPr>
      </w:pPr>
    </w:p>
    <w:p w14:paraId="16C6625F" w14:textId="77777777" w:rsidR="00AA17AB" w:rsidRPr="00DA5119" w:rsidRDefault="00AA17AB" w:rsidP="00DA5119">
      <w:pPr>
        <w:ind w:left="-90"/>
        <w:rPr>
          <w:rFonts w:eastAsiaTheme="minorHAnsi"/>
          <w:b/>
          <w:sz w:val="20"/>
          <w:szCs w:val="20"/>
          <w:lang w:val="en-US"/>
        </w:rPr>
      </w:pPr>
      <w:r w:rsidRPr="00DA5119">
        <w:rPr>
          <w:rFonts w:eastAsiaTheme="minorHAnsi"/>
          <w:b/>
          <w:sz w:val="20"/>
          <w:szCs w:val="20"/>
          <w:lang w:val="en-US"/>
        </w:rPr>
        <w:br w:type="page"/>
      </w:r>
    </w:p>
    <w:p w14:paraId="0A712677" w14:textId="3679F9C5" w:rsidR="009414AE" w:rsidRPr="00DA5119" w:rsidRDefault="009414AE" w:rsidP="00DA5119">
      <w:pPr>
        <w:ind w:left="-90"/>
        <w:rPr>
          <w:rFonts w:eastAsiaTheme="minorHAnsi"/>
          <w:sz w:val="20"/>
          <w:szCs w:val="20"/>
          <w:lang w:val="en-US"/>
        </w:rPr>
      </w:pPr>
      <w:r w:rsidRPr="00DA5119">
        <w:rPr>
          <w:rFonts w:eastAsiaTheme="minorHAnsi"/>
          <w:b/>
          <w:sz w:val="20"/>
          <w:szCs w:val="20"/>
          <w:lang w:val="en-US"/>
        </w:rPr>
        <w:lastRenderedPageBreak/>
        <w:t>Figure S10.1</w:t>
      </w:r>
      <w:r w:rsidRPr="00DA5119">
        <w:rPr>
          <w:rFonts w:eastAsiaTheme="minorHAnsi"/>
          <w:sz w:val="20"/>
          <w:szCs w:val="20"/>
          <w:lang w:val="en-US"/>
        </w:rPr>
        <w:t>: Result probabilistic MAGICC6 runs for the NDC+2DC and NDC+2</w:t>
      </w:r>
      <w:r w:rsidR="009F5ACB" w:rsidRPr="00DA5119">
        <w:rPr>
          <w:rFonts w:eastAsiaTheme="minorHAnsi"/>
          <w:sz w:val="20"/>
          <w:szCs w:val="20"/>
          <w:lang w:val="en-US"/>
        </w:rPr>
        <w:t>DC+SLCF scenarios. Upper panel: GMT change range (line represents median scenario). Lower panel: range in GMT difference between the two scenarios (line represents difference in median case).</w:t>
      </w:r>
      <w:r w:rsidR="005E42EB" w:rsidRPr="00DA511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E42EB" w:rsidRPr="00DA5119">
        <w:rPr>
          <w:rFonts w:eastAsiaTheme="minorHAnsi"/>
          <w:noProof/>
          <w:sz w:val="20"/>
          <w:szCs w:val="20"/>
          <w:lang w:val="nl-NL" w:eastAsia="nl-NL"/>
        </w:rPr>
        <w:drawing>
          <wp:inline distT="0" distB="0" distL="0" distR="0" wp14:anchorId="1EDC5B76" wp14:editId="768CFA0D">
            <wp:extent cx="5760720" cy="2877321"/>
            <wp:effectExtent l="0" t="0" r="0" b="0"/>
            <wp:docPr id="15" name="Picture 15" descr="Y:\ontwapps\Timer\Users\Mathijs\R\EMF30 INDC temp\Probabilistic MAGICC run\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ntwapps\Timer\Users\Mathijs\R\EMF30 INDC temp\Probabilistic MAGICC run\TEM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877321"/>
                    </a:xfrm>
                    <a:prstGeom prst="rect">
                      <a:avLst/>
                    </a:prstGeom>
                    <a:noFill/>
                    <a:ln>
                      <a:noFill/>
                    </a:ln>
                  </pic:spPr>
                </pic:pic>
              </a:graphicData>
            </a:graphic>
          </wp:inline>
        </w:drawing>
      </w:r>
    </w:p>
    <w:p w14:paraId="4DDEEFC8" w14:textId="5F37EF3A" w:rsidR="007E245A" w:rsidRPr="00DA5119" w:rsidRDefault="009414AE" w:rsidP="00DA5119">
      <w:pPr>
        <w:ind w:left="-90"/>
        <w:rPr>
          <w:lang w:val="en-US"/>
        </w:rPr>
      </w:pPr>
      <w:r w:rsidRPr="00DA5119">
        <w:rPr>
          <w:noProof/>
          <w:lang w:val="nl-NL" w:eastAsia="nl-NL"/>
        </w:rPr>
        <w:drawing>
          <wp:inline distT="0" distB="0" distL="0" distR="0" wp14:anchorId="6D6A893D" wp14:editId="49909E07">
            <wp:extent cx="6258296" cy="3125847"/>
            <wp:effectExtent l="0" t="0" r="0" b="0"/>
            <wp:docPr id="13" name="Picture 13" descr="Y:\ontwapps\Timer\Users\Mathijs\R\EMF30 INDC temp\Probabilistic MAGICC run\GMT dif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ntwapps\Timer\Users\Mathijs\R\EMF30 INDC temp\Probabilistic MAGICC run\GMT differenc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6481" cy="3149914"/>
                    </a:xfrm>
                    <a:prstGeom prst="rect">
                      <a:avLst/>
                    </a:prstGeom>
                    <a:noFill/>
                    <a:ln>
                      <a:noFill/>
                    </a:ln>
                  </pic:spPr>
                </pic:pic>
              </a:graphicData>
            </a:graphic>
          </wp:inline>
        </w:drawing>
      </w:r>
      <w:r w:rsidRPr="00DA5119">
        <w:rPr>
          <w:lang w:val="en-US"/>
        </w:rPr>
        <w:t xml:space="preserve"> </w:t>
      </w:r>
    </w:p>
    <w:sectPr w:rsidR="007E245A" w:rsidRPr="00DA5119">
      <w:footerReference w:type="default" r:id="rId30"/>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B457A9" w16cid:durableId="1F5DD667"/>
  <w16cid:commentId w16cid:paraId="45ED7BD4" w16cid:durableId="1F5DD668"/>
  <w16cid:commentId w16cid:paraId="3E8AA204" w16cid:durableId="1F5E61DB"/>
  <w16cid:commentId w16cid:paraId="669BC248" w16cid:durableId="1F5DD730"/>
  <w16cid:commentId w16cid:paraId="1EC5C73B" w16cid:durableId="1F5DD669"/>
  <w16cid:commentId w16cid:paraId="3526AB88" w16cid:durableId="1F5DD66A"/>
  <w16cid:commentId w16cid:paraId="1815092F" w16cid:durableId="1F5DD7F1"/>
  <w16cid:commentId w16cid:paraId="28FA440C" w16cid:durableId="1F5DD66B"/>
  <w16cid:commentId w16cid:paraId="35A7C019" w16cid:durableId="1F5DD66C"/>
  <w16cid:commentId w16cid:paraId="52AE7648" w16cid:durableId="1F5DD66D"/>
  <w16cid:commentId w16cid:paraId="192CDE7D" w16cid:durableId="1F5DD66E"/>
  <w16cid:commentId w16cid:paraId="77EABF78" w16cid:durableId="1F5DD66F"/>
  <w16cid:commentId w16cid:paraId="0CF32377" w16cid:durableId="1F5DD670"/>
  <w16cid:commentId w16cid:paraId="7370F172" w16cid:durableId="1F5DD671"/>
  <w16cid:commentId w16cid:paraId="28599EFA" w16cid:durableId="1F5DD672"/>
  <w16cid:commentId w16cid:paraId="7EF0A02C" w16cid:durableId="1F5DD673"/>
  <w16cid:commentId w16cid:paraId="1C00310B" w16cid:durableId="1F5DD674"/>
  <w16cid:commentId w16cid:paraId="63359E39" w16cid:durableId="1F5DD675"/>
  <w16cid:commentId w16cid:paraId="4E6C1909" w16cid:durableId="1F5DD676"/>
  <w16cid:commentId w16cid:paraId="6DC68457" w16cid:durableId="1F5DD677"/>
  <w16cid:commentId w16cid:paraId="5B3805AD" w16cid:durableId="1F5DD678"/>
  <w16cid:commentId w16cid:paraId="20444DC7" w16cid:durableId="1F5DD679"/>
  <w16cid:commentId w16cid:paraId="220BFF51" w16cid:durableId="1F5DD67A"/>
  <w16cid:commentId w16cid:paraId="7603D7D1" w16cid:durableId="1F5DD67B"/>
  <w16cid:commentId w16cid:paraId="02990E2C" w16cid:durableId="1F5DD67C"/>
  <w16cid:commentId w16cid:paraId="65943048" w16cid:durableId="1F5DD67D"/>
  <w16cid:commentId w16cid:paraId="5B6E1594" w16cid:durableId="1F5DD67E"/>
  <w16cid:commentId w16cid:paraId="66601110" w16cid:durableId="1F5DD67F"/>
  <w16cid:commentId w16cid:paraId="627D3D4E" w16cid:durableId="1F5DD680"/>
  <w16cid:commentId w16cid:paraId="003B7200" w16cid:durableId="1F5DD681"/>
  <w16cid:commentId w16cid:paraId="3D844238" w16cid:durableId="1F5E622E"/>
  <w16cid:commentId w16cid:paraId="7031A8C5" w16cid:durableId="1F5DD682"/>
  <w16cid:commentId w16cid:paraId="6D26C0C0" w16cid:durableId="1F5DD683"/>
  <w16cid:commentId w16cid:paraId="02BD7639" w16cid:durableId="1F5DD684"/>
  <w16cid:commentId w16cid:paraId="06502FAF" w16cid:durableId="1F5DD685"/>
  <w16cid:commentId w16cid:paraId="3AD42DCB" w16cid:durableId="1F5DD686"/>
  <w16cid:commentId w16cid:paraId="0D206F15" w16cid:durableId="1F5DD687"/>
  <w16cid:commentId w16cid:paraId="174640B3" w16cid:durableId="1F5DD688"/>
  <w16cid:commentId w16cid:paraId="57431C1A" w16cid:durableId="1F5DD689"/>
  <w16cid:commentId w16cid:paraId="1E6882DC" w16cid:durableId="1F5DD68A"/>
  <w16cid:commentId w16cid:paraId="123F82E6" w16cid:durableId="1F5DD68B"/>
  <w16cid:commentId w16cid:paraId="397327AD" w16cid:durableId="1F5DD68C"/>
  <w16cid:commentId w16cid:paraId="3D234AE5" w16cid:durableId="1F5DD68D"/>
  <w16cid:commentId w16cid:paraId="6EBAA508" w16cid:durableId="1F5DD68E"/>
  <w16cid:commentId w16cid:paraId="314DB7A9" w16cid:durableId="1F5DD68F"/>
  <w16cid:commentId w16cid:paraId="491FDE80" w16cid:durableId="1F5E63A8"/>
  <w16cid:commentId w16cid:paraId="46AFCB33" w16cid:durableId="1F5E63C1"/>
  <w16cid:commentId w16cid:paraId="78D9C0D1" w16cid:durableId="1F5E63F5"/>
  <w16cid:commentId w16cid:paraId="7A52FD9A" w16cid:durableId="1F5DD690"/>
  <w16cid:commentId w16cid:paraId="49CABD9C" w16cid:durableId="1F5E6459"/>
  <w16cid:commentId w16cid:paraId="7728174A" w16cid:durableId="1F5E64AF"/>
  <w16cid:commentId w16cid:paraId="68944BAF" w16cid:durableId="1F5DD691"/>
  <w16cid:commentId w16cid:paraId="2C78D770" w16cid:durableId="1F5DD692"/>
  <w16cid:commentId w16cid:paraId="27E160ED" w16cid:durableId="1F5DD693"/>
  <w16cid:commentId w16cid:paraId="0C0883FA" w16cid:durableId="1F5DD694"/>
  <w16cid:commentId w16cid:paraId="14DB1865" w16cid:durableId="1F5DD695"/>
  <w16cid:commentId w16cid:paraId="03BE187D" w16cid:durableId="1F5DD696"/>
  <w16cid:commentId w16cid:paraId="16C00F07" w16cid:durableId="1F5DD697"/>
  <w16cid:commentId w16cid:paraId="6B588C21" w16cid:durableId="1F5DD698"/>
  <w16cid:commentId w16cid:paraId="0FF8C61D" w16cid:durableId="1F5DD699"/>
  <w16cid:commentId w16cid:paraId="3D5231CD" w16cid:durableId="1F5DD69A"/>
  <w16cid:commentId w16cid:paraId="51EF92CB" w16cid:durableId="1F5DD69B"/>
  <w16cid:commentId w16cid:paraId="1DC6FFE7" w16cid:durableId="1F5DD69C"/>
  <w16cid:commentId w16cid:paraId="1167F304" w16cid:durableId="1F5DD69D"/>
  <w16cid:commentId w16cid:paraId="35080CD9" w16cid:durableId="1F5DD69E"/>
  <w16cid:commentId w16cid:paraId="10E1A518" w16cid:durableId="1F5DD69F"/>
  <w16cid:commentId w16cid:paraId="3B874F67" w16cid:durableId="1F5DD6A0"/>
  <w16cid:commentId w16cid:paraId="50FDF969" w16cid:durableId="1F5DD6A1"/>
  <w16cid:commentId w16cid:paraId="5D48D12F" w16cid:durableId="1F5DD6A2"/>
  <w16cid:commentId w16cid:paraId="52CBC4D2" w16cid:durableId="1F5DD6A3"/>
  <w16cid:commentId w16cid:paraId="6F9F56E9" w16cid:durableId="1F5DD6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F0D87" w14:textId="77777777" w:rsidR="009E23F7" w:rsidRDefault="009E23F7" w:rsidP="0018061F">
      <w:pPr>
        <w:spacing w:after="0" w:line="240" w:lineRule="auto"/>
      </w:pPr>
      <w:r>
        <w:separator/>
      </w:r>
    </w:p>
  </w:endnote>
  <w:endnote w:type="continuationSeparator" w:id="0">
    <w:p w14:paraId="1EE543BB" w14:textId="77777777" w:rsidR="009E23F7" w:rsidRDefault="009E23F7" w:rsidP="00180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merican Typewriter">
    <w:altName w:val="Arial"/>
    <w:charset w:val="00"/>
    <w:family w:val="auto"/>
    <w:pitch w:val="variable"/>
    <w:sig w:usb0="00000001"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79068" w14:textId="77777777" w:rsidR="009E23F7" w:rsidRDefault="009E23F7" w:rsidP="00C26D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EBDA39" w14:textId="77777777" w:rsidR="009E23F7" w:rsidRDefault="009E23F7" w:rsidP="00C26D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973182"/>
      <w:docPartObj>
        <w:docPartGallery w:val="Page Numbers (Bottom of Page)"/>
        <w:docPartUnique/>
      </w:docPartObj>
    </w:sdtPr>
    <w:sdtEndPr/>
    <w:sdtContent>
      <w:p w14:paraId="6D06C3D3" w14:textId="714DF471" w:rsidR="009E23F7" w:rsidRDefault="009E23F7">
        <w:pPr>
          <w:pStyle w:val="Footer"/>
          <w:jc w:val="right"/>
        </w:pPr>
        <w:r>
          <w:fldChar w:fldCharType="begin"/>
        </w:r>
        <w:r>
          <w:instrText>PAGE   \* MERGEFORMAT</w:instrText>
        </w:r>
        <w:r>
          <w:fldChar w:fldCharType="separate"/>
        </w:r>
        <w:r w:rsidR="00643584" w:rsidRPr="00643584">
          <w:rPr>
            <w:noProof/>
            <w:lang w:val="nl-NL"/>
          </w:rPr>
          <w:t>2</w:t>
        </w:r>
        <w:r>
          <w:fldChar w:fldCharType="end"/>
        </w:r>
      </w:p>
    </w:sdtContent>
  </w:sdt>
  <w:p w14:paraId="225C69B1" w14:textId="77777777" w:rsidR="009E23F7" w:rsidRDefault="009E23F7" w:rsidP="00C26D2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084505"/>
      <w:docPartObj>
        <w:docPartGallery w:val="Page Numbers (Bottom of Page)"/>
        <w:docPartUnique/>
      </w:docPartObj>
    </w:sdtPr>
    <w:sdtEndPr/>
    <w:sdtContent>
      <w:p w14:paraId="6AC3E43C" w14:textId="680DCFD7" w:rsidR="009E23F7" w:rsidRDefault="009E23F7">
        <w:pPr>
          <w:pStyle w:val="Footer"/>
        </w:pPr>
        <w:r>
          <w:fldChar w:fldCharType="begin"/>
        </w:r>
        <w:r>
          <w:instrText>PAGE   \* MERGEFORMAT</w:instrText>
        </w:r>
        <w:r>
          <w:fldChar w:fldCharType="separate"/>
        </w:r>
        <w:r w:rsidR="00643584" w:rsidRPr="00643584">
          <w:rPr>
            <w:noProof/>
            <w:lang w:val="nl-NL"/>
          </w:rPr>
          <w:t>22</w:t>
        </w:r>
        <w:r>
          <w:fldChar w:fldCharType="end"/>
        </w:r>
      </w:p>
    </w:sdtContent>
  </w:sdt>
  <w:p w14:paraId="45AF55FE" w14:textId="77777777" w:rsidR="009E23F7" w:rsidRDefault="009E2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0CC54" w14:textId="77777777" w:rsidR="009E23F7" w:rsidRDefault="009E23F7" w:rsidP="0018061F">
      <w:pPr>
        <w:spacing w:after="0" w:line="240" w:lineRule="auto"/>
      </w:pPr>
      <w:r>
        <w:separator/>
      </w:r>
    </w:p>
  </w:footnote>
  <w:footnote w:type="continuationSeparator" w:id="0">
    <w:p w14:paraId="793414AA" w14:textId="77777777" w:rsidR="009E23F7" w:rsidRDefault="009E23F7" w:rsidP="0018061F">
      <w:pPr>
        <w:spacing w:after="0" w:line="240" w:lineRule="auto"/>
      </w:pPr>
      <w:r>
        <w:continuationSeparator/>
      </w:r>
    </w:p>
  </w:footnote>
  <w:footnote w:id="1">
    <w:p w14:paraId="0DDBEEE5" w14:textId="50D5DE08" w:rsidR="009E23F7" w:rsidRDefault="009E23F7" w:rsidP="007B6588">
      <w:pPr>
        <w:pStyle w:val="FootnoteText"/>
      </w:pPr>
      <w:r>
        <w:rPr>
          <w:rStyle w:val="FootnoteReference"/>
        </w:rPr>
        <w:footnoteRef/>
      </w:r>
      <w:r>
        <w:t xml:space="preserve"> Höglund-Isaksson et al (2017) project a reduction of 58% in 2030 (Höglund-Isaksson L, et al. (2017) Cost estimates of the Kigali Amendment to phase-down hydrofluorocarbons Environmental Science &amp; Policy 75: 138-147.)</w:t>
      </w:r>
    </w:p>
    <w:p w14:paraId="5EF46A67" w14:textId="491BCAE2" w:rsidR="009E23F7" w:rsidRPr="007B6588" w:rsidRDefault="009E23F7" w:rsidP="007B6588">
      <w:pPr>
        <w:pStyle w:val="FootnoteText"/>
        <w:rPr>
          <w:lang w:val="en-US"/>
        </w:rPr>
      </w:pPr>
    </w:p>
  </w:footnote>
  <w:footnote w:id="2">
    <w:p w14:paraId="4ED6118B" w14:textId="728AEDF4" w:rsidR="009E23F7" w:rsidRPr="0018061F" w:rsidRDefault="009E23F7" w:rsidP="0011459A">
      <w:pPr>
        <w:pStyle w:val="FootnoteText"/>
        <w:rPr>
          <w:lang w:val="en-US"/>
        </w:rPr>
      </w:pPr>
      <w:r>
        <w:rPr>
          <w:rStyle w:val="FootnoteReference"/>
        </w:rPr>
        <w:footnoteRef/>
      </w:r>
      <w:r>
        <w:t xml:space="preserve"> Outside the G2O there are only a small number of </w:t>
      </w:r>
      <w:r w:rsidRPr="00BB4B18">
        <w:t>countries</w:t>
      </w:r>
      <w:r>
        <w:t xml:space="preserve"> that do not include non-CO</w:t>
      </w:r>
      <w:r>
        <w:rPr>
          <w:vertAlign w:val="subscript"/>
        </w:rPr>
        <w:t>2</w:t>
      </w:r>
      <w:r>
        <w:t xml:space="preserve"> emissions in their economy-wide NDC target</w:t>
      </w:r>
      <w:r w:rsidRPr="00BB4B18">
        <w:t xml:space="preserve">; </w:t>
      </w:r>
      <w:r>
        <w:t>Albania, Macedonia,</w:t>
      </w:r>
      <w:r w:rsidRPr="00BB4B18">
        <w:t xml:space="preserve"> </w:t>
      </w:r>
      <w:r>
        <w:t>Venezuela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1F47"/>
    <w:multiLevelType w:val="hybridMultilevel"/>
    <w:tmpl w:val="73BA000C"/>
    <w:lvl w:ilvl="0" w:tplc="E8DA8A1A">
      <w:start w:val="1"/>
      <w:numFmt w:val="bullet"/>
      <w:lvlText w:val="-"/>
      <w:lvlJc w:val="left"/>
      <w:pPr>
        <w:ind w:left="644" w:hanging="360"/>
      </w:pPr>
      <w:rPr>
        <w:rFonts w:ascii="Calibri" w:eastAsiaTheme="minorHAnsi" w:hAnsi="Calibri" w:cstheme="minorBidi" w:hint="default"/>
      </w:rPr>
    </w:lvl>
    <w:lvl w:ilvl="1" w:tplc="04130003">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 w15:restartNumberingAfterBreak="0">
    <w:nsid w:val="101A69E5"/>
    <w:multiLevelType w:val="hybridMultilevel"/>
    <w:tmpl w:val="8F0EB5C8"/>
    <w:lvl w:ilvl="0" w:tplc="66F4F6D2">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8A327E"/>
    <w:multiLevelType w:val="hybridMultilevel"/>
    <w:tmpl w:val="8FAC20E6"/>
    <w:lvl w:ilvl="0" w:tplc="FF4CB628">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6F62C0"/>
    <w:multiLevelType w:val="multilevel"/>
    <w:tmpl w:val="D1E6DA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302778C"/>
    <w:multiLevelType w:val="hybridMultilevel"/>
    <w:tmpl w:val="8F2C2E50"/>
    <w:lvl w:ilvl="0" w:tplc="47225A66">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E548D"/>
    <w:multiLevelType w:val="hybridMultilevel"/>
    <w:tmpl w:val="E3E20C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365F73"/>
    <w:multiLevelType w:val="hybridMultilevel"/>
    <w:tmpl w:val="FA402F5A"/>
    <w:lvl w:ilvl="0" w:tplc="6178C7FE">
      <w:start w:val="1"/>
      <w:numFmt w:val="bullet"/>
      <w:lvlText w:val="-"/>
      <w:lvlJc w:val="left"/>
      <w:pPr>
        <w:ind w:left="720" w:hanging="360"/>
      </w:pPr>
      <w:rPr>
        <w:rFonts w:ascii="Calibri" w:eastAsia="MS Mincho"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332FB1"/>
    <w:multiLevelType w:val="hybridMultilevel"/>
    <w:tmpl w:val="C778E67E"/>
    <w:lvl w:ilvl="0" w:tplc="FB4C5A9C">
      <w:start w:val="4"/>
      <w:numFmt w:val="bullet"/>
      <w:lvlText w:val=""/>
      <w:lvlJc w:val="left"/>
      <w:pPr>
        <w:ind w:left="1800" w:hanging="360"/>
      </w:pPr>
      <w:rPr>
        <w:rFonts w:ascii="Wingdings" w:eastAsia="MS Mincho" w:hAnsi="Wingdings"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220847C3"/>
    <w:multiLevelType w:val="hybridMultilevel"/>
    <w:tmpl w:val="EFF424CA"/>
    <w:lvl w:ilvl="0" w:tplc="AE2E8C26">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1F2522"/>
    <w:multiLevelType w:val="hybridMultilevel"/>
    <w:tmpl w:val="4998D902"/>
    <w:lvl w:ilvl="0" w:tplc="C3EE23E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3A3E87"/>
    <w:multiLevelType w:val="hybridMultilevel"/>
    <w:tmpl w:val="1730118E"/>
    <w:lvl w:ilvl="0" w:tplc="BE3807A8">
      <w:numFmt w:val="bullet"/>
      <w:lvlText w:val=""/>
      <w:lvlJc w:val="left"/>
      <w:pPr>
        <w:ind w:left="720" w:hanging="360"/>
      </w:pPr>
      <w:rPr>
        <w:rFonts w:ascii="Symbol" w:eastAsia="MS Mincho"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A80A97"/>
    <w:multiLevelType w:val="multilevel"/>
    <w:tmpl w:val="D1E6DA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A77409A"/>
    <w:multiLevelType w:val="hybridMultilevel"/>
    <w:tmpl w:val="F66056B2"/>
    <w:lvl w:ilvl="0" w:tplc="41CA3440">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522D8"/>
    <w:multiLevelType w:val="hybridMultilevel"/>
    <w:tmpl w:val="4F18B722"/>
    <w:lvl w:ilvl="0" w:tplc="7F2672BE">
      <w:numFmt w:val="bullet"/>
      <w:lvlText w:val=""/>
      <w:lvlJc w:val="left"/>
      <w:pPr>
        <w:ind w:left="405" w:hanging="360"/>
      </w:pPr>
      <w:rPr>
        <w:rFonts w:ascii="Symbol" w:eastAsia="MS Mincho" w:hAnsi="Symbol" w:cstheme="minorBid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14" w15:restartNumberingAfterBreak="0">
    <w:nsid w:val="2F215055"/>
    <w:multiLevelType w:val="hybridMultilevel"/>
    <w:tmpl w:val="92EA845E"/>
    <w:lvl w:ilvl="0" w:tplc="D44C1A2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931AD1"/>
    <w:multiLevelType w:val="hybridMultilevel"/>
    <w:tmpl w:val="5F6AE09A"/>
    <w:lvl w:ilvl="0" w:tplc="D74E73E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B0D33DD"/>
    <w:multiLevelType w:val="hybridMultilevel"/>
    <w:tmpl w:val="FDD2FE62"/>
    <w:lvl w:ilvl="0" w:tplc="01CAE190">
      <w:start w:val="4"/>
      <w:numFmt w:val="bullet"/>
      <w:lvlText w:val="-"/>
      <w:lvlJc w:val="left"/>
      <w:pPr>
        <w:ind w:left="720" w:hanging="360"/>
      </w:pPr>
      <w:rPr>
        <w:rFonts w:ascii="Calibri" w:eastAsia="MS Mincho"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A84C4F"/>
    <w:multiLevelType w:val="hybridMultilevel"/>
    <w:tmpl w:val="33B06E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991196"/>
    <w:multiLevelType w:val="multilevel"/>
    <w:tmpl w:val="D1E6DAC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0D97993"/>
    <w:multiLevelType w:val="hybridMultilevel"/>
    <w:tmpl w:val="8A9852B6"/>
    <w:lvl w:ilvl="0" w:tplc="FB4C5A9C">
      <w:start w:val="4"/>
      <w:numFmt w:val="bullet"/>
      <w:lvlText w:val=""/>
      <w:lvlJc w:val="left"/>
      <w:pPr>
        <w:ind w:left="1080" w:hanging="360"/>
      </w:pPr>
      <w:rPr>
        <w:rFonts w:ascii="Wingdings" w:eastAsia="MS Mincho"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45906127"/>
    <w:multiLevelType w:val="hybridMultilevel"/>
    <w:tmpl w:val="F51A7D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0A092B"/>
    <w:multiLevelType w:val="multilevel"/>
    <w:tmpl w:val="BDD64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DD0484"/>
    <w:multiLevelType w:val="hybridMultilevel"/>
    <w:tmpl w:val="A4107D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210C4"/>
    <w:multiLevelType w:val="hybridMultilevel"/>
    <w:tmpl w:val="998874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BD37D4A"/>
    <w:multiLevelType w:val="hybridMultilevel"/>
    <w:tmpl w:val="D83E683A"/>
    <w:lvl w:ilvl="0" w:tplc="551EB19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C6303A8"/>
    <w:multiLevelType w:val="hybridMultilevel"/>
    <w:tmpl w:val="D9AAEA62"/>
    <w:lvl w:ilvl="0" w:tplc="D44C1A2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2483528"/>
    <w:multiLevelType w:val="hybridMultilevel"/>
    <w:tmpl w:val="94227E08"/>
    <w:lvl w:ilvl="0" w:tplc="100264BA">
      <w:numFmt w:val="bullet"/>
      <w:lvlText w:val=""/>
      <w:lvlJc w:val="left"/>
      <w:pPr>
        <w:ind w:left="720" w:hanging="360"/>
      </w:pPr>
      <w:rPr>
        <w:rFonts w:ascii="Symbol" w:eastAsia="MS Mincho"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5D31771"/>
    <w:multiLevelType w:val="hybridMultilevel"/>
    <w:tmpl w:val="2234990A"/>
    <w:lvl w:ilvl="0" w:tplc="5E3A3138">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D75683F"/>
    <w:multiLevelType w:val="hybridMultilevel"/>
    <w:tmpl w:val="0BAAF78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E631F61"/>
    <w:multiLevelType w:val="hybridMultilevel"/>
    <w:tmpl w:val="90DCC9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502D26"/>
    <w:multiLevelType w:val="hybridMultilevel"/>
    <w:tmpl w:val="3FE49474"/>
    <w:lvl w:ilvl="0" w:tplc="E6260070">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D35081"/>
    <w:multiLevelType w:val="hybridMultilevel"/>
    <w:tmpl w:val="40A4583C"/>
    <w:lvl w:ilvl="0" w:tplc="B2946F1E">
      <w:numFmt w:val="bullet"/>
      <w:lvlText w:val="-"/>
      <w:lvlJc w:val="left"/>
      <w:pPr>
        <w:ind w:left="720" w:hanging="360"/>
      </w:pPr>
      <w:rPr>
        <w:rFonts w:ascii="Calibri" w:eastAsiaTheme="minorHAnsi"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B71BE9"/>
    <w:multiLevelType w:val="hybridMultilevel"/>
    <w:tmpl w:val="7AB29970"/>
    <w:lvl w:ilvl="0" w:tplc="5E3A3138">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FC740F8"/>
    <w:multiLevelType w:val="hybridMultilevel"/>
    <w:tmpl w:val="4A96F0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7"/>
  </w:num>
  <w:num w:numId="4">
    <w:abstractNumId w:val="20"/>
  </w:num>
  <w:num w:numId="5">
    <w:abstractNumId w:val="4"/>
  </w:num>
  <w:num w:numId="6">
    <w:abstractNumId w:val="12"/>
  </w:num>
  <w:num w:numId="7">
    <w:abstractNumId w:val="0"/>
  </w:num>
  <w:num w:numId="8">
    <w:abstractNumId w:val="23"/>
  </w:num>
  <w:num w:numId="9">
    <w:abstractNumId w:val="18"/>
  </w:num>
  <w:num w:numId="10">
    <w:abstractNumId w:val="33"/>
  </w:num>
  <w:num w:numId="11">
    <w:abstractNumId w:val="32"/>
  </w:num>
  <w:num w:numId="12">
    <w:abstractNumId w:val="27"/>
  </w:num>
  <w:num w:numId="13">
    <w:abstractNumId w:val="8"/>
  </w:num>
  <w:num w:numId="14">
    <w:abstractNumId w:val="30"/>
  </w:num>
  <w:num w:numId="15">
    <w:abstractNumId w:val="15"/>
  </w:num>
  <w:num w:numId="16">
    <w:abstractNumId w:val="5"/>
  </w:num>
  <w:num w:numId="17">
    <w:abstractNumId w:val="14"/>
  </w:num>
  <w:num w:numId="18">
    <w:abstractNumId w:val="24"/>
  </w:num>
  <w:num w:numId="19">
    <w:abstractNumId w:val="21"/>
  </w:num>
  <w:num w:numId="20">
    <w:abstractNumId w:val="31"/>
  </w:num>
  <w:num w:numId="21">
    <w:abstractNumId w:val="1"/>
  </w:num>
  <w:num w:numId="22">
    <w:abstractNumId w:val="25"/>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19"/>
  </w:num>
  <w:num w:numId="26">
    <w:abstractNumId w:val="7"/>
  </w:num>
  <w:num w:numId="27">
    <w:abstractNumId w:val="10"/>
  </w:num>
  <w:num w:numId="28">
    <w:abstractNumId w:val="26"/>
  </w:num>
  <w:num w:numId="29">
    <w:abstractNumId w:val="13"/>
  </w:num>
  <w:num w:numId="30">
    <w:abstractNumId w:val="11"/>
  </w:num>
  <w:num w:numId="31">
    <w:abstractNumId w:val="6"/>
  </w:num>
  <w:num w:numId="32">
    <w:abstractNumId w:val="3"/>
  </w:num>
  <w:num w:numId="33">
    <w:abstractNumId w:val="2"/>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Q3NbIwNTWxtDAxNbFQ0lEKTi0uzszPAykwqgUApuRT/SwAAAA="/>
    <w:docVar w:name="EN.InstantFormat" w:val="&lt;ENInstantFormat&gt;&lt;Enabled&gt;0&lt;/Enabled&gt;&lt;ScanUnformatted&gt;1&lt;/ScanUnformatted&gt;&lt;ScanChanges&gt;1&lt;/ScanChanges&gt;&lt;Suspended&gt;0&lt;/Suspended&gt;&lt;/ENInstantFormat&gt;"/>
    <w:docVar w:name="EN.Layout" w:val="&lt;ENLayout&gt;&lt;Style&gt;Climatic Chang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wxvdw52e55r2gefrsovdxwk0xrz0v2zfp2s&quot;&gt;My EndNote Library&lt;record-ids&gt;&lt;item&gt;12&lt;/item&gt;&lt;item&gt;36&lt;/item&gt;&lt;item&gt;37&lt;/item&gt;&lt;item&gt;132&lt;/item&gt;&lt;item&gt;221&lt;/item&gt;&lt;item&gt;236&lt;/item&gt;&lt;item&gt;244&lt;/item&gt;&lt;item&gt;250&lt;/item&gt;&lt;item&gt;255&lt;/item&gt;&lt;item&gt;261&lt;/item&gt;&lt;item&gt;262&lt;/item&gt;&lt;item&gt;267&lt;/item&gt;&lt;item&gt;274&lt;/item&gt;&lt;item&gt;283&lt;/item&gt;&lt;item&gt;284&lt;/item&gt;&lt;item&gt;285&lt;/item&gt;&lt;item&gt;286&lt;/item&gt;&lt;item&gt;287&lt;/item&gt;&lt;item&gt;288&lt;/item&gt;&lt;item&gt;289&lt;/item&gt;&lt;item&gt;290&lt;/item&gt;&lt;item&gt;292&lt;/item&gt;&lt;item&gt;293&lt;/item&gt;&lt;item&gt;294&lt;/item&gt;&lt;item&gt;295&lt;/item&gt;&lt;item&gt;296&lt;/item&gt;&lt;item&gt;297&lt;/item&gt;&lt;item&gt;298&lt;/item&gt;&lt;item&gt;299&lt;/item&gt;&lt;item&gt;300&lt;/item&gt;&lt;item&gt;301&lt;/item&gt;&lt;item&gt;302&lt;/item&gt;&lt;item&gt;303&lt;/item&gt;&lt;item&gt;305&lt;/item&gt;&lt;item&gt;306&lt;/item&gt;&lt;item&gt;307&lt;/item&gt;&lt;item&gt;308&lt;/item&gt;&lt;item&gt;309&lt;/item&gt;&lt;item&gt;315&lt;/item&gt;&lt;item&gt;370&lt;/item&gt;&lt;item&gt;371&lt;/item&gt;&lt;item&gt;372&lt;/item&gt;&lt;item&gt;466&lt;/item&gt;&lt;item&gt;490&lt;/item&gt;&lt;item&gt;491&lt;/item&gt;&lt;item&gt;493&lt;/item&gt;&lt;item&gt;494&lt;/item&gt;&lt;item&gt;496&lt;/item&gt;&lt;item&gt;497&lt;/item&gt;&lt;item&gt;499&lt;/item&gt;&lt;/record-ids&gt;&lt;/item&gt;&lt;/Libraries&gt;"/>
  </w:docVars>
  <w:rsids>
    <w:rsidRoot w:val="00C272E4"/>
    <w:rsid w:val="000023D6"/>
    <w:rsid w:val="00011296"/>
    <w:rsid w:val="0001245C"/>
    <w:rsid w:val="00012C72"/>
    <w:rsid w:val="000144F4"/>
    <w:rsid w:val="00015055"/>
    <w:rsid w:val="00015F80"/>
    <w:rsid w:val="0001660E"/>
    <w:rsid w:val="0001778D"/>
    <w:rsid w:val="000208C6"/>
    <w:rsid w:val="00020D92"/>
    <w:rsid w:val="0002620A"/>
    <w:rsid w:val="00031C80"/>
    <w:rsid w:val="00031CDE"/>
    <w:rsid w:val="000324BA"/>
    <w:rsid w:val="000329EF"/>
    <w:rsid w:val="00032FF8"/>
    <w:rsid w:val="00033E0B"/>
    <w:rsid w:val="00034A57"/>
    <w:rsid w:val="00034FAA"/>
    <w:rsid w:val="00040546"/>
    <w:rsid w:val="00041F7C"/>
    <w:rsid w:val="00045F94"/>
    <w:rsid w:val="00047BBE"/>
    <w:rsid w:val="000519BB"/>
    <w:rsid w:val="00053461"/>
    <w:rsid w:val="0005346A"/>
    <w:rsid w:val="00054DF6"/>
    <w:rsid w:val="000554E2"/>
    <w:rsid w:val="00056CC1"/>
    <w:rsid w:val="00057737"/>
    <w:rsid w:val="0006117B"/>
    <w:rsid w:val="0006215D"/>
    <w:rsid w:val="000647B9"/>
    <w:rsid w:val="000650D7"/>
    <w:rsid w:val="000652E8"/>
    <w:rsid w:val="0006591F"/>
    <w:rsid w:val="00065CDD"/>
    <w:rsid w:val="00070C6B"/>
    <w:rsid w:val="00071D39"/>
    <w:rsid w:val="0007201B"/>
    <w:rsid w:val="00074116"/>
    <w:rsid w:val="00080066"/>
    <w:rsid w:val="000832C8"/>
    <w:rsid w:val="00083798"/>
    <w:rsid w:val="00083C8F"/>
    <w:rsid w:val="00087424"/>
    <w:rsid w:val="00092293"/>
    <w:rsid w:val="000942D9"/>
    <w:rsid w:val="000A0493"/>
    <w:rsid w:val="000A2D96"/>
    <w:rsid w:val="000A33CC"/>
    <w:rsid w:val="000A4647"/>
    <w:rsid w:val="000A5116"/>
    <w:rsid w:val="000A7822"/>
    <w:rsid w:val="000B0352"/>
    <w:rsid w:val="000B0373"/>
    <w:rsid w:val="000B5EF5"/>
    <w:rsid w:val="000C264D"/>
    <w:rsid w:val="000C4D23"/>
    <w:rsid w:val="000C69EB"/>
    <w:rsid w:val="000C6C0C"/>
    <w:rsid w:val="000C7F07"/>
    <w:rsid w:val="000D31E4"/>
    <w:rsid w:val="000D3749"/>
    <w:rsid w:val="000D4C24"/>
    <w:rsid w:val="000D7252"/>
    <w:rsid w:val="000E0828"/>
    <w:rsid w:val="000E0F2F"/>
    <w:rsid w:val="000E28E2"/>
    <w:rsid w:val="000E2DE9"/>
    <w:rsid w:val="000E3CAD"/>
    <w:rsid w:val="000E4557"/>
    <w:rsid w:val="000E7116"/>
    <w:rsid w:val="000E766D"/>
    <w:rsid w:val="000F07EE"/>
    <w:rsid w:val="000F0FBF"/>
    <w:rsid w:val="000F156B"/>
    <w:rsid w:val="000F1E74"/>
    <w:rsid w:val="000F25F3"/>
    <w:rsid w:val="000F2D7E"/>
    <w:rsid w:val="000F656C"/>
    <w:rsid w:val="001003AF"/>
    <w:rsid w:val="00102612"/>
    <w:rsid w:val="0010473D"/>
    <w:rsid w:val="00104811"/>
    <w:rsid w:val="00106143"/>
    <w:rsid w:val="0011192F"/>
    <w:rsid w:val="0011247F"/>
    <w:rsid w:val="001136EA"/>
    <w:rsid w:val="00113F2B"/>
    <w:rsid w:val="00114250"/>
    <w:rsid w:val="0011459A"/>
    <w:rsid w:val="00115CEF"/>
    <w:rsid w:val="00124D24"/>
    <w:rsid w:val="0012543B"/>
    <w:rsid w:val="00126203"/>
    <w:rsid w:val="001278C5"/>
    <w:rsid w:val="0013346A"/>
    <w:rsid w:val="00134F3F"/>
    <w:rsid w:val="00135170"/>
    <w:rsid w:val="00137457"/>
    <w:rsid w:val="00137893"/>
    <w:rsid w:val="00137BB0"/>
    <w:rsid w:val="001424C9"/>
    <w:rsid w:val="0014252F"/>
    <w:rsid w:val="00142677"/>
    <w:rsid w:val="001430ED"/>
    <w:rsid w:val="001437D8"/>
    <w:rsid w:val="00144006"/>
    <w:rsid w:val="0014400B"/>
    <w:rsid w:val="0014518D"/>
    <w:rsid w:val="001477F1"/>
    <w:rsid w:val="00147EB0"/>
    <w:rsid w:val="00152450"/>
    <w:rsid w:val="0015378C"/>
    <w:rsid w:val="00154786"/>
    <w:rsid w:val="001561DE"/>
    <w:rsid w:val="001563AB"/>
    <w:rsid w:val="001566E0"/>
    <w:rsid w:val="00156C5B"/>
    <w:rsid w:val="00160DDB"/>
    <w:rsid w:val="001626AC"/>
    <w:rsid w:val="00162DB1"/>
    <w:rsid w:val="00166461"/>
    <w:rsid w:val="0016672C"/>
    <w:rsid w:val="00167924"/>
    <w:rsid w:val="00171993"/>
    <w:rsid w:val="00172475"/>
    <w:rsid w:val="0017368D"/>
    <w:rsid w:val="001772C1"/>
    <w:rsid w:val="0018061F"/>
    <w:rsid w:val="00180D66"/>
    <w:rsid w:val="00180ED8"/>
    <w:rsid w:val="00181E38"/>
    <w:rsid w:val="00182217"/>
    <w:rsid w:val="00183CFA"/>
    <w:rsid w:val="00183EF5"/>
    <w:rsid w:val="00184C50"/>
    <w:rsid w:val="00185D5E"/>
    <w:rsid w:val="0019137F"/>
    <w:rsid w:val="001925E5"/>
    <w:rsid w:val="0019557E"/>
    <w:rsid w:val="00196876"/>
    <w:rsid w:val="00197AB4"/>
    <w:rsid w:val="001A4E17"/>
    <w:rsid w:val="001A4FE3"/>
    <w:rsid w:val="001A5A3A"/>
    <w:rsid w:val="001A5F9E"/>
    <w:rsid w:val="001A6606"/>
    <w:rsid w:val="001B4FFC"/>
    <w:rsid w:val="001B7753"/>
    <w:rsid w:val="001C0160"/>
    <w:rsid w:val="001C0DEB"/>
    <w:rsid w:val="001C3178"/>
    <w:rsid w:val="001C39B0"/>
    <w:rsid w:val="001C4446"/>
    <w:rsid w:val="001C5E70"/>
    <w:rsid w:val="001C6A2F"/>
    <w:rsid w:val="001C7A63"/>
    <w:rsid w:val="001D060E"/>
    <w:rsid w:val="001D1DD8"/>
    <w:rsid w:val="001D2F5D"/>
    <w:rsid w:val="001D350B"/>
    <w:rsid w:val="001D3A1E"/>
    <w:rsid w:val="001D4524"/>
    <w:rsid w:val="001D5DF2"/>
    <w:rsid w:val="001D7684"/>
    <w:rsid w:val="001E0925"/>
    <w:rsid w:val="001E1206"/>
    <w:rsid w:val="001E57C3"/>
    <w:rsid w:val="001F247E"/>
    <w:rsid w:val="001F5D79"/>
    <w:rsid w:val="001F7826"/>
    <w:rsid w:val="0020151F"/>
    <w:rsid w:val="002016E5"/>
    <w:rsid w:val="00202DFA"/>
    <w:rsid w:val="00203756"/>
    <w:rsid w:val="00203D3A"/>
    <w:rsid w:val="00206F2B"/>
    <w:rsid w:val="00211F7D"/>
    <w:rsid w:val="00212207"/>
    <w:rsid w:val="00212CE6"/>
    <w:rsid w:val="00213396"/>
    <w:rsid w:val="0021539B"/>
    <w:rsid w:val="002174E8"/>
    <w:rsid w:val="002177B6"/>
    <w:rsid w:val="0022514E"/>
    <w:rsid w:val="00227265"/>
    <w:rsid w:val="00230892"/>
    <w:rsid w:val="002313AD"/>
    <w:rsid w:val="00234492"/>
    <w:rsid w:val="00240272"/>
    <w:rsid w:val="00251AD0"/>
    <w:rsid w:val="002530FB"/>
    <w:rsid w:val="0025363B"/>
    <w:rsid w:val="00253DB6"/>
    <w:rsid w:val="00254DCB"/>
    <w:rsid w:val="00256BFD"/>
    <w:rsid w:val="00256CE7"/>
    <w:rsid w:val="00261F7E"/>
    <w:rsid w:val="00265C07"/>
    <w:rsid w:val="00271698"/>
    <w:rsid w:val="00271B02"/>
    <w:rsid w:val="002727A2"/>
    <w:rsid w:val="0027569E"/>
    <w:rsid w:val="0027652B"/>
    <w:rsid w:val="0027736F"/>
    <w:rsid w:val="00277F99"/>
    <w:rsid w:val="00280EFA"/>
    <w:rsid w:val="0028302A"/>
    <w:rsid w:val="0028490F"/>
    <w:rsid w:val="00287F6D"/>
    <w:rsid w:val="00291158"/>
    <w:rsid w:val="002912A6"/>
    <w:rsid w:val="002912F5"/>
    <w:rsid w:val="0029233A"/>
    <w:rsid w:val="00294A8B"/>
    <w:rsid w:val="00296D13"/>
    <w:rsid w:val="002A28AC"/>
    <w:rsid w:val="002A2981"/>
    <w:rsid w:val="002A41A6"/>
    <w:rsid w:val="002A5D1B"/>
    <w:rsid w:val="002A6972"/>
    <w:rsid w:val="002A770F"/>
    <w:rsid w:val="002B1271"/>
    <w:rsid w:val="002B223C"/>
    <w:rsid w:val="002B2C24"/>
    <w:rsid w:val="002B3029"/>
    <w:rsid w:val="002B44E7"/>
    <w:rsid w:val="002B7C80"/>
    <w:rsid w:val="002C03FB"/>
    <w:rsid w:val="002C1841"/>
    <w:rsid w:val="002C1B45"/>
    <w:rsid w:val="002C2B15"/>
    <w:rsid w:val="002C2E63"/>
    <w:rsid w:val="002C3627"/>
    <w:rsid w:val="002C56B8"/>
    <w:rsid w:val="002C681B"/>
    <w:rsid w:val="002C7EAC"/>
    <w:rsid w:val="002D01FB"/>
    <w:rsid w:val="002D075E"/>
    <w:rsid w:val="002D4F93"/>
    <w:rsid w:val="002E08C1"/>
    <w:rsid w:val="002E1458"/>
    <w:rsid w:val="002E155C"/>
    <w:rsid w:val="002E2C29"/>
    <w:rsid w:val="002E38F8"/>
    <w:rsid w:val="002E77DE"/>
    <w:rsid w:val="002F027B"/>
    <w:rsid w:val="002F1B37"/>
    <w:rsid w:val="002F267D"/>
    <w:rsid w:val="0030083F"/>
    <w:rsid w:val="0030101F"/>
    <w:rsid w:val="003023C4"/>
    <w:rsid w:val="00304FB7"/>
    <w:rsid w:val="003115FD"/>
    <w:rsid w:val="00311A56"/>
    <w:rsid w:val="00313A00"/>
    <w:rsid w:val="003161E9"/>
    <w:rsid w:val="0032272B"/>
    <w:rsid w:val="00324C30"/>
    <w:rsid w:val="00324EF2"/>
    <w:rsid w:val="00325FD8"/>
    <w:rsid w:val="003302DE"/>
    <w:rsid w:val="0033160E"/>
    <w:rsid w:val="00331CEB"/>
    <w:rsid w:val="00333360"/>
    <w:rsid w:val="0033636A"/>
    <w:rsid w:val="00336B2C"/>
    <w:rsid w:val="00341215"/>
    <w:rsid w:val="00341616"/>
    <w:rsid w:val="00343E5E"/>
    <w:rsid w:val="00344939"/>
    <w:rsid w:val="003452DC"/>
    <w:rsid w:val="00346214"/>
    <w:rsid w:val="00346B73"/>
    <w:rsid w:val="00347B41"/>
    <w:rsid w:val="00350120"/>
    <w:rsid w:val="0035039C"/>
    <w:rsid w:val="0035202D"/>
    <w:rsid w:val="00360267"/>
    <w:rsid w:val="00362B65"/>
    <w:rsid w:val="00362EA4"/>
    <w:rsid w:val="00363D8D"/>
    <w:rsid w:val="00367AFE"/>
    <w:rsid w:val="00370132"/>
    <w:rsid w:val="00370307"/>
    <w:rsid w:val="00373188"/>
    <w:rsid w:val="003765EB"/>
    <w:rsid w:val="00377D6D"/>
    <w:rsid w:val="00384668"/>
    <w:rsid w:val="0038500F"/>
    <w:rsid w:val="00390330"/>
    <w:rsid w:val="00390494"/>
    <w:rsid w:val="00390509"/>
    <w:rsid w:val="003912F8"/>
    <w:rsid w:val="00391602"/>
    <w:rsid w:val="00393654"/>
    <w:rsid w:val="003950CD"/>
    <w:rsid w:val="00395A42"/>
    <w:rsid w:val="00396348"/>
    <w:rsid w:val="003A0614"/>
    <w:rsid w:val="003A10F6"/>
    <w:rsid w:val="003A1641"/>
    <w:rsid w:val="003A27E2"/>
    <w:rsid w:val="003A67DF"/>
    <w:rsid w:val="003A70B3"/>
    <w:rsid w:val="003B3913"/>
    <w:rsid w:val="003B3CFF"/>
    <w:rsid w:val="003B4601"/>
    <w:rsid w:val="003B589C"/>
    <w:rsid w:val="003B7233"/>
    <w:rsid w:val="003B7BFF"/>
    <w:rsid w:val="003C02D5"/>
    <w:rsid w:val="003C070A"/>
    <w:rsid w:val="003C271B"/>
    <w:rsid w:val="003C2E73"/>
    <w:rsid w:val="003C312B"/>
    <w:rsid w:val="003C6024"/>
    <w:rsid w:val="003D07CA"/>
    <w:rsid w:val="003D2F99"/>
    <w:rsid w:val="003D6326"/>
    <w:rsid w:val="003D66CC"/>
    <w:rsid w:val="003D6FC6"/>
    <w:rsid w:val="003E1782"/>
    <w:rsid w:val="003E1D96"/>
    <w:rsid w:val="003E3E2A"/>
    <w:rsid w:val="003F0590"/>
    <w:rsid w:val="003F0FCC"/>
    <w:rsid w:val="003F15D1"/>
    <w:rsid w:val="003F24A8"/>
    <w:rsid w:val="003F34A6"/>
    <w:rsid w:val="003F5462"/>
    <w:rsid w:val="003F77F4"/>
    <w:rsid w:val="00400173"/>
    <w:rsid w:val="004008BE"/>
    <w:rsid w:val="00405007"/>
    <w:rsid w:val="0040641D"/>
    <w:rsid w:val="004073B8"/>
    <w:rsid w:val="00407790"/>
    <w:rsid w:val="00407AF4"/>
    <w:rsid w:val="00410095"/>
    <w:rsid w:val="00410773"/>
    <w:rsid w:val="00410B28"/>
    <w:rsid w:val="00411CD2"/>
    <w:rsid w:val="0041293C"/>
    <w:rsid w:val="0041486C"/>
    <w:rsid w:val="00415727"/>
    <w:rsid w:val="00416C7F"/>
    <w:rsid w:val="004171F8"/>
    <w:rsid w:val="00417F88"/>
    <w:rsid w:val="00422924"/>
    <w:rsid w:val="004230F0"/>
    <w:rsid w:val="00423BFD"/>
    <w:rsid w:val="00423E91"/>
    <w:rsid w:val="004249D0"/>
    <w:rsid w:val="004263EC"/>
    <w:rsid w:val="00426A91"/>
    <w:rsid w:val="00430D04"/>
    <w:rsid w:val="00431582"/>
    <w:rsid w:val="00432075"/>
    <w:rsid w:val="00432664"/>
    <w:rsid w:val="0043273F"/>
    <w:rsid w:val="004341FB"/>
    <w:rsid w:val="0043580D"/>
    <w:rsid w:val="00436E51"/>
    <w:rsid w:val="00442DBA"/>
    <w:rsid w:val="004436C8"/>
    <w:rsid w:val="004439BC"/>
    <w:rsid w:val="00444189"/>
    <w:rsid w:val="00444EF8"/>
    <w:rsid w:val="00445F5C"/>
    <w:rsid w:val="00446B90"/>
    <w:rsid w:val="00446D72"/>
    <w:rsid w:val="004472DF"/>
    <w:rsid w:val="00447892"/>
    <w:rsid w:val="00453822"/>
    <w:rsid w:val="00457BD0"/>
    <w:rsid w:val="0046013E"/>
    <w:rsid w:val="00460AB7"/>
    <w:rsid w:val="004616EB"/>
    <w:rsid w:val="00462138"/>
    <w:rsid w:val="004627AF"/>
    <w:rsid w:val="00462A53"/>
    <w:rsid w:val="004656FC"/>
    <w:rsid w:val="00467498"/>
    <w:rsid w:val="004731DE"/>
    <w:rsid w:val="00473590"/>
    <w:rsid w:val="00480AA4"/>
    <w:rsid w:val="00481C99"/>
    <w:rsid w:val="00483432"/>
    <w:rsid w:val="0048772B"/>
    <w:rsid w:val="00495B03"/>
    <w:rsid w:val="004A1BFC"/>
    <w:rsid w:val="004A43E2"/>
    <w:rsid w:val="004A4F5E"/>
    <w:rsid w:val="004B038F"/>
    <w:rsid w:val="004B2859"/>
    <w:rsid w:val="004B4A96"/>
    <w:rsid w:val="004B4FA2"/>
    <w:rsid w:val="004B5176"/>
    <w:rsid w:val="004B5B11"/>
    <w:rsid w:val="004B6846"/>
    <w:rsid w:val="004C0E28"/>
    <w:rsid w:val="004D1CEB"/>
    <w:rsid w:val="004D3122"/>
    <w:rsid w:val="004D3CFD"/>
    <w:rsid w:val="004D3D28"/>
    <w:rsid w:val="004D6024"/>
    <w:rsid w:val="004D6457"/>
    <w:rsid w:val="004D6C93"/>
    <w:rsid w:val="004E12D6"/>
    <w:rsid w:val="004E5944"/>
    <w:rsid w:val="004E79E0"/>
    <w:rsid w:val="004F004C"/>
    <w:rsid w:val="004F012E"/>
    <w:rsid w:val="004F0502"/>
    <w:rsid w:val="004F0E74"/>
    <w:rsid w:val="004F345C"/>
    <w:rsid w:val="004F530D"/>
    <w:rsid w:val="004F5C8E"/>
    <w:rsid w:val="004F62CC"/>
    <w:rsid w:val="0050243F"/>
    <w:rsid w:val="00504188"/>
    <w:rsid w:val="00504AD2"/>
    <w:rsid w:val="005106B7"/>
    <w:rsid w:val="005112ED"/>
    <w:rsid w:val="005115DC"/>
    <w:rsid w:val="00512675"/>
    <w:rsid w:val="0051367F"/>
    <w:rsid w:val="00515141"/>
    <w:rsid w:val="005162F6"/>
    <w:rsid w:val="005172DA"/>
    <w:rsid w:val="00517A6D"/>
    <w:rsid w:val="00517F5B"/>
    <w:rsid w:val="00524FFB"/>
    <w:rsid w:val="00525CDE"/>
    <w:rsid w:val="0052640B"/>
    <w:rsid w:val="00530A28"/>
    <w:rsid w:val="005339F1"/>
    <w:rsid w:val="0053619E"/>
    <w:rsid w:val="005375E6"/>
    <w:rsid w:val="005402D9"/>
    <w:rsid w:val="00541672"/>
    <w:rsid w:val="00541FFD"/>
    <w:rsid w:val="005437AC"/>
    <w:rsid w:val="00544AEE"/>
    <w:rsid w:val="00545D51"/>
    <w:rsid w:val="00545FD1"/>
    <w:rsid w:val="00547388"/>
    <w:rsid w:val="00550BBF"/>
    <w:rsid w:val="00550CCF"/>
    <w:rsid w:val="005517FA"/>
    <w:rsid w:val="005541A4"/>
    <w:rsid w:val="005542B9"/>
    <w:rsid w:val="00554E1D"/>
    <w:rsid w:val="005558CD"/>
    <w:rsid w:val="00555EB5"/>
    <w:rsid w:val="005618FA"/>
    <w:rsid w:val="00561EC3"/>
    <w:rsid w:val="0056260D"/>
    <w:rsid w:val="00563690"/>
    <w:rsid w:val="0056598C"/>
    <w:rsid w:val="00565DCF"/>
    <w:rsid w:val="00567259"/>
    <w:rsid w:val="005716EB"/>
    <w:rsid w:val="00571CCB"/>
    <w:rsid w:val="005721F0"/>
    <w:rsid w:val="00575F20"/>
    <w:rsid w:val="00580142"/>
    <w:rsid w:val="005801F2"/>
    <w:rsid w:val="005806DF"/>
    <w:rsid w:val="0058251E"/>
    <w:rsid w:val="00582CBE"/>
    <w:rsid w:val="005840A4"/>
    <w:rsid w:val="00585127"/>
    <w:rsid w:val="00585EA3"/>
    <w:rsid w:val="00586617"/>
    <w:rsid w:val="00586B08"/>
    <w:rsid w:val="00590D96"/>
    <w:rsid w:val="0059653D"/>
    <w:rsid w:val="005969C6"/>
    <w:rsid w:val="00596E87"/>
    <w:rsid w:val="005A0762"/>
    <w:rsid w:val="005A0AF3"/>
    <w:rsid w:val="005A31B8"/>
    <w:rsid w:val="005A3666"/>
    <w:rsid w:val="005A37BC"/>
    <w:rsid w:val="005A3812"/>
    <w:rsid w:val="005A4260"/>
    <w:rsid w:val="005A5752"/>
    <w:rsid w:val="005A6E84"/>
    <w:rsid w:val="005B22C1"/>
    <w:rsid w:val="005B743E"/>
    <w:rsid w:val="005C38BB"/>
    <w:rsid w:val="005D08F0"/>
    <w:rsid w:val="005D2061"/>
    <w:rsid w:val="005D39E8"/>
    <w:rsid w:val="005D3FA9"/>
    <w:rsid w:val="005D4BE4"/>
    <w:rsid w:val="005D5685"/>
    <w:rsid w:val="005D5CB6"/>
    <w:rsid w:val="005D79E6"/>
    <w:rsid w:val="005E0143"/>
    <w:rsid w:val="005E1118"/>
    <w:rsid w:val="005E42EB"/>
    <w:rsid w:val="005E4790"/>
    <w:rsid w:val="005E47FD"/>
    <w:rsid w:val="005E5836"/>
    <w:rsid w:val="005E6A4F"/>
    <w:rsid w:val="005E6A75"/>
    <w:rsid w:val="00600A06"/>
    <w:rsid w:val="0060183C"/>
    <w:rsid w:val="006021BA"/>
    <w:rsid w:val="00602B1B"/>
    <w:rsid w:val="00604BAD"/>
    <w:rsid w:val="006059F8"/>
    <w:rsid w:val="00605FD8"/>
    <w:rsid w:val="00611A1D"/>
    <w:rsid w:val="00612627"/>
    <w:rsid w:val="00613C76"/>
    <w:rsid w:val="00614216"/>
    <w:rsid w:val="00616F4A"/>
    <w:rsid w:val="00621071"/>
    <w:rsid w:val="006261CB"/>
    <w:rsid w:val="00626303"/>
    <w:rsid w:val="00630FF0"/>
    <w:rsid w:val="00631717"/>
    <w:rsid w:val="00633C78"/>
    <w:rsid w:val="00634584"/>
    <w:rsid w:val="00634E37"/>
    <w:rsid w:val="006359A1"/>
    <w:rsid w:val="006362D2"/>
    <w:rsid w:val="006363D6"/>
    <w:rsid w:val="006404E3"/>
    <w:rsid w:val="006432E7"/>
    <w:rsid w:val="00643584"/>
    <w:rsid w:val="00645BED"/>
    <w:rsid w:val="006460A1"/>
    <w:rsid w:val="00646B02"/>
    <w:rsid w:val="00647628"/>
    <w:rsid w:val="00654DFD"/>
    <w:rsid w:val="00654E1C"/>
    <w:rsid w:val="00656437"/>
    <w:rsid w:val="00657592"/>
    <w:rsid w:val="0066019D"/>
    <w:rsid w:val="00660E6C"/>
    <w:rsid w:val="00665E0A"/>
    <w:rsid w:val="00666B4B"/>
    <w:rsid w:val="00666F9C"/>
    <w:rsid w:val="006678C7"/>
    <w:rsid w:val="00667E1E"/>
    <w:rsid w:val="00667E88"/>
    <w:rsid w:val="00673F36"/>
    <w:rsid w:val="00674C1E"/>
    <w:rsid w:val="006758C9"/>
    <w:rsid w:val="006775E7"/>
    <w:rsid w:val="00680CE3"/>
    <w:rsid w:val="00680D95"/>
    <w:rsid w:val="00682263"/>
    <w:rsid w:val="0068305E"/>
    <w:rsid w:val="00690839"/>
    <w:rsid w:val="0069096C"/>
    <w:rsid w:val="00692FCF"/>
    <w:rsid w:val="00695128"/>
    <w:rsid w:val="006A1C84"/>
    <w:rsid w:val="006A3229"/>
    <w:rsid w:val="006A48F6"/>
    <w:rsid w:val="006A5670"/>
    <w:rsid w:val="006A580F"/>
    <w:rsid w:val="006A7795"/>
    <w:rsid w:val="006B1503"/>
    <w:rsid w:val="006B180D"/>
    <w:rsid w:val="006B3091"/>
    <w:rsid w:val="006B4AE2"/>
    <w:rsid w:val="006B5BD5"/>
    <w:rsid w:val="006B6B30"/>
    <w:rsid w:val="006C2075"/>
    <w:rsid w:val="006C2113"/>
    <w:rsid w:val="006C323B"/>
    <w:rsid w:val="006C4FFD"/>
    <w:rsid w:val="006C5831"/>
    <w:rsid w:val="006C6DAC"/>
    <w:rsid w:val="006C6FF6"/>
    <w:rsid w:val="006D00EA"/>
    <w:rsid w:val="006D0358"/>
    <w:rsid w:val="006D0820"/>
    <w:rsid w:val="006D233E"/>
    <w:rsid w:val="006D3778"/>
    <w:rsid w:val="006D5B62"/>
    <w:rsid w:val="006D5EA5"/>
    <w:rsid w:val="006D5F07"/>
    <w:rsid w:val="006E0366"/>
    <w:rsid w:val="006E25C3"/>
    <w:rsid w:val="006E35ED"/>
    <w:rsid w:val="006E4529"/>
    <w:rsid w:val="006E61DB"/>
    <w:rsid w:val="006E64DF"/>
    <w:rsid w:val="006E7383"/>
    <w:rsid w:val="006F2EF8"/>
    <w:rsid w:val="006F417A"/>
    <w:rsid w:val="006F4FB4"/>
    <w:rsid w:val="0070011A"/>
    <w:rsid w:val="00700C25"/>
    <w:rsid w:val="00701880"/>
    <w:rsid w:val="00702ED2"/>
    <w:rsid w:val="007030FF"/>
    <w:rsid w:val="0070389B"/>
    <w:rsid w:val="00707769"/>
    <w:rsid w:val="00711B40"/>
    <w:rsid w:val="00716021"/>
    <w:rsid w:val="00717480"/>
    <w:rsid w:val="0072201B"/>
    <w:rsid w:val="0072483A"/>
    <w:rsid w:val="00724F0B"/>
    <w:rsid w:val="00727719"/>
    <w:rsid w:val="00733D82"/>
    <w:rsid w:val="007342AD"/>
    <w:rsid w:val="00736F54"/>
    <w:rsid w:val="00740231"/>
    <w:rsid w:val="00740410"/>
    <w:rsid w:val="00740B08"/>
    <w:rsid w:val="007438F9"/>
    <w:rsid w:val="0074513E"/>
    <w:rsid w:val="00746EF5"/>
    <w:rsid w:val="00747D42"/>
    <w:rsid w:val="00752511"/>
    <w:rsid w:val="0075273D"/>
    <w:rsid w:val="00752F7D"/>
    <w:rsid w:val="00755C97"/>
    <w:rsid w:val="007565A6"/>
    <w:rsid w:val="007565F3"/>
    <w:rsid w:val="00757C90"/>
    <w:rsid w:val="007602B1"/>
    <w:rsid w:val="00760ACE"/>
    <w:rsid w:val="00762A6F"/>
    <w:rsid w:val="00766ADB"/>
    <w:rsid w:val="00767119"/>
    <w:rsid w:val="007759F4"/>
    <w:rsid w:val="007767EC"/>
    <w:rsid w:val="0077713D"/>
    <w:rsid w:val="00783E32"/>
    <w:rsid w:val="007852A6"/>
    <w:rsid w:val="00785384"/>
    <w:rsid w:val="00787260"/>
    <w:rsid w:val="00792A9C"/>
    <w:rsid w:val="007942A6"/>
    <w:rsid w:val="00795A2B"/>
    <w:rsid w:val="00796236"/>
    <w:rsid w:val="00797B69"/>
    <w:rsid w:val="007A124E"/>
    <w:rsid w:val="007A2CF7"/>
    <w:rsid w:val="007A2D17"/>
    <w:rsid w:val="007A6E6E"/>
    <w:rsid w:val="007A72FE"/>
    <w:rsid w:val="007A7756"/>
    <w:rsid w:val="007B28C3"/>
    <w:rsid w:val="007B5EB1"/>
    <w:rsid w:val="007B6588"/>
    <w:rsid w:val="007B6BF0"/>
    <w:rsid w:val="007B712A"/>
    <w:rsid w:val="007C45ED"/>
    <w:rsid w:val="007C473D"/>
    <w:rsid w:val="007C5372"/>
    <w:rsid w:val="007C6897"/>
    <w:rsid w:val="007C6AA3"/>
    <w:rsid w:val="007C6E1B"/>
    <w:rsid w:val="007C7FF7"/>
    <w:rsid w:val="007D0D44"/>
    <w:rsid w:val="007D2295"/>
    <w:rsid w:val="007D445D"/>
    <w:rsid w:val="007D6824"/>
    <w:rsid w:val="007E0FF0"/>
    <w:rsid w:val="007E1CFF"/>
    <w:rsid w:val="007E245A"/>
    <w:rsid w:val="007E25F2"/>
    <w:rsid w:val="007E59C6"/>
    <w:rsid w:val="007E63AC"/>
    <w:rsid w:val="007E6589"/>
    <w:rsid w:val="007E689B"/>
    <w:rsid w:val="007F15EB"/>
    <w:rsid w:val="007F3A28"/>
    <w:rsid w:val="007F4FC1"/>
    <w:rsid w:val="007F56D0"/>
    <w:rsid w:val="008036FA"/>
    <w:rsid w:val="00807198"/>
    <w:rsid w:val="00807C3E"/>
    <w:rsid w:val="00811CD5"/>
    <w:rsid w:val="008169CB"/>
    <w:rsid w:val="00817CA5"/>
    <w:rsid w:val="00827F05"/>
    <w:rsid w:val="00830C0E"/>
    <w:rsid w:val="00830E64"/>
    <w:rsid w:val="00831C9B"/>
    <w:rsid w:val="008320E1"/>
    <w:rsid w:val="008337CF"/>
    <w:rsid w:val="00835D0B"/>
    <w:rsid w:val="00837407"/>
    <w:rsid w:val="00840F21"/>
    <w:rsid w:val="0084107F"/>
    <w:rsid w:val="00843484"/>
    <w:rsid w:val="00844323"/>
    <w:rsid w:val="0084612E"/>
    <w:rsid w:val="008505FB"/>
    <w:rsid w:val="00850B2A"/>
    <w:rsid w:val="0085193B"/>
    <w:rsid w:val="00852903"/>
    <w:rsid w:val="00854A6B"/>
    <w:rsid w:val="0086116F"/>
    <w:rsid w:val="00862498"/>
    <w:rsid w:val="00863694"/>
    <w:rsid w:val="00864294"/>
    <w:rsid w:val="008652C6"/>
    <w:rsid w:val="008657F5"/>
    <w:rsid w:val="00872709"/>
    <w:rsid w:val="00874BC7"/>
    <w:rsid w:val="008755C0"/>
    <w:rsid w:val="00876FB7"/>
    <w:rsid w:val="00877473"/>
    <w:rsid w:val="0088336C"/>
    <w:rsid w:val="00884561"/>
    <w:rsid w:val="00884DC6"/>
    <w:rsid w:val="00884F6D"/>
    <w:rsid w:val="0088646C"/>
    <w:rsid w:val="00891BD7"/>
    <w:rsid w:val="00891D97"/>
    <w:rsid w:val="00892708"/>
    <w:rsid w:val="00892723"/>
    <w:rsid w:val="00895B74"/>
    <w:rsid w:val="00895E22"/>
    <w:rsid w:val="00896CBC"/>
    <w:rsid w:val="008971A1"/>
    <w:rsid w:val="00897809"/>
    <w:rsid w:val="00897CCB"/>
    <w:rsid w:val="008A0622"/>
    <w:rsid w:val="008A292B"/>
    <w:rsid w:val="008A5E25"/>
    <w:rsid w:val="008A796B"/>
    <w:rsid w:val="008B014D"/>
    <w:rsid w:val="008B2BE4"/>
    <w:rsid w:val="008B2C7E"/>
    <w:rsid w:val="008B3A8E"/>
    <w:rsid w:val="008B3AB3"/>
    <w:rsid w:val="008B4229"/>
    <w:rsid w:val="008B55E5"/>
    <w:rsid w:val="008C109C"/>
    <w:rsid w:val="008C16B2"/>
    <w:rsid w:val="008C2030"/>
    <w:rsid w:val="008C4D65"/>
    <w:rsid w:val="008C71EA"/>
    <w:rsid w:val="008C7B23"/>
    <w:rsid w:val="008D078C"/>
    <w:rsid w:val="008D0CB6"/>
    <w:rsid w:val="008D0D57"/>
    <w:rsid w:val="008D19EC"/>
    <w:rsid w:val="008D2DD5"/>
    <w:rsid w:val="008E21A8"/>
    <w:rsid w:val="008E3DD9"/>
    <w:rsid w:val="008F173C"/>
    <w:rsid w:val="008F2632"/>
    <w:rsid w:val="008F2B0F"/>
    <w:rsid w:val="008F3980"/>
    <w:rsid w:val="008F3A22"/>
    <w:rsid w:val="008F3BA4"/>
    <w:rsid w:val="008F4E8B"/>
    <w:rsid w:val="008F6900"/>
    <w:rsid w:val="008F7DEF"/>
    <w:rsid w:val="00900DF6"/>
    <w:rsid w:val="00900FB5"/>
    <w:rsid w:val="00904062"/>
    <w:rsid w:val="00904DD2"/>
    <w:rsid w:val="009054A5"/>
    <w:rsid w:val="00907973"/>
    <w:rsid w:val="00911B30"/>
    <w:rsid w:val="00911BE7"/>
    <w:rsid w:val="00913A5A"/>
    <w:rsid w:val="009170E6"/>
    <w:rsid w:val="00917C34"/>
    <w:rsid w:val="00921BB1"/>
    <w:rsid w:val="0092673D"/>
    <w:rsid w:val="00931746"/>
    <w:rsid w:val="009322F5"/>
    <w:rsid w:val="00935574"/>
    <w:rsid w:val="00935963"/>
    <w:rsid w:val="00935D29"/>
    <w:rsid w:val="009414AE"/>
    <w:rsid w:val="0094174E"/>
    <w:rsid w:val="00943CC1"/>
    <w:rsid w:val="009445DD"/>
    <w:rsid w:val="009448D0"/>
    <w:rsid w:val="00947285"/>
    <w:rsid w:val="009508D2"/>
    <w:rsid w:val="00950A03"/>
    <w:rsid w:val="00951525"/>
    <w:rsid w:val="00953C1C"/>
    <w:rsid w:val="00956F30"/>
    <w:rsid w:val="0096163A"/>
    <w:rsid w:val="009626AD"/>
    <w:rsid w:val="00963457"/>
    <w:rsid w:val="00966B0D"/>
    <w:rsid w:val="009676B3"/>
    <w:rsid w:val="0097158F"/>
    <w:rsid w:val="009733E6"/>
    <w:rsid w:val="00974527"/>
    <w:rsid w:val="00981173"/>
    <w:rsid w:val="00981E2B"/>
    <w:rsid w:val="00984E21"/>
    <w:rsid w:val="0098770E"/>
    <w:rsid w:val="00990839"/>
    <w:rsid w:val="009953C4"/>
    <w:rsid w:val="00997867"/>
    <w:rsid w:val="009A15C7"/>
    <w:rsid w:val="009A2405"/>
    <w:rsid w:val="009A3776"/>
    <w:rsid w:val="009A4302"/>
    <w:rsid w:val="009A45B3"/>
    <w:rsid w:val="009A4C83"/>
    <w:rsid w:val="009A5073"/>
    <w:rsid w:val="009A5B84"/>
    <w:rsid w:val="009A616E"/>
    <w:rsid w:val="009A6DE5"/>
    <w:rsid w:val="009A7474"/>
    <w:rsid w:val="009B2CF4"/>
    <w:rsid w:val="009B3E96"/>
    <w:rsid w:val="009B5909"/>
    <w:rsid w:val="009C001C"/>
    <w:rsid w:val="009C1A10"/>
    <w:rsid w:val="009C7423"/>
    <w:rsid w:val="009D1643"/>
    <w:rsid w:val="009D243C"/>
    <w:rsid w:val="009D24FC"/>
    <w:rsid w:val="009D40B2"/>
    <w:rsid w:val="009D5A38"/>
    <w:rsid w:val="009D6534"/>
    <w:rsid w:val="009E00DD"/>
    <w:rsid w:val="009E23F7"/>
    <w:rsid w:val="009E33F0"/>
    <w:rsid w:val="009E3DD0"/>
    <w:rsid w:val="009E73DA"/>
    <w:rsid w:val="009F10F7"/>
    <w:rsid w:val="009F1451"/>
    <w:rsid w:val="009F33E9"/>
    <w:rsid w:val="009F3AEF"/>
    <w:rsid w:val="009F5ACB"/>
    <w:rsid w:val="009F7575"/>
    <w:rsid w:val="00A00544"/>
    <w:rsid w:val="00A00DFE"/>
    <w:rsid w:val="00A02A18"/>
    <w:rsid w:val="00A043BC"/>
    <w:rsid w:val="00A04CD2"/>
    <w:rsid w:val="00A1031B"/>
    <w:rsid w:val="00A10642"/>
    <w:rsid w:val="00A108FB"/>
    <w:rsid w:val="00A1139C"/>
    <w:rsid w:val="00A12E35"/>
    <w:rsid w:val="00A16452"/>
    <w:rsid w:val="00A16AA6"/>
    <w:rsid w:val="00A20C62"/>
    <w:rsid w:val="00A212E0"/>
    <w:rsid w:val="00A246AA"/>
    <w:rsid w:val="00A32B62"/>
    <w:rsid w:val="00A34C97"/>
    <w:rsid w:val="00A362F5"/>
    <w:rsid w:val="00A37121"/>
    <w:rsid w:val="00A41149"/>
    <w:rsid w:val="00A43C5A"/>
    <w:rsid w:val="00A47D4E"/>
    <w:rsid w:val="00A52196"/>
    <w:rsid w:val="00A532E1"/>
    <w:rsid w:val="00A55A8B"/>
    <w:rsid w:val="00A62E4F"/>
    <w:rsid w:val="00A631AB"/>
    <w:rsid w:val="00A64636"/>
    <w:rsid w:val="00A64BB6"/>
    <w:rsid w:val="00A6567B"/>
    <w:rsid w:val="00A65FE3"/>
    <w:rsid w:val="00A7073E"/>
    <w:rsid w:val="00A71778"/>
    <w:rsid w:val="00A744EE"/>
    <w:rsid w:val="00A76196"/>
    <w:rsid w:val="00A7648E"/>
    <w:rsid w:val="00A77B35"/>
    <w:rsid w:val="00A800F6"/>
    <w:rsid w:val="00A81BBE"/>
    <w:rsid w:val="00A82E13"/>
    <w:rsid w:val="00A832DE"/>
    <w:rsid w:val="00A83E4F"/>
    <w:rsid w:val="00A85092"/>
    <w:rsid w:val="00A85112"/>
    <w:rsid w:val="00A93EF9"/>
    <w:rsid w:val="00A962AF"/>
    <w:rsid w:val="00A96920"/>
    <w:rsid w:val="00A969C7"/>
    <w:rsid w:val="00A976CF"/>
    <w:rsid w:val="00AA09E6"/>
    <w:rsid w:val="00AA17AB"/>
    <w:rsid w:val="00AA2C38"/>
    <w:rsid w:val="00AA2FF3"/>
    <w:rsid w:val="00AA4F36"/>
    <w:rsid w:val="00AA5F7A"/>
    <w:rsid w:val="00AA766E"/>
    <w:rsid w:val="00AA7F9C"/>
    <w:rsid w:val="00AB1C35"/>
    <w:rsid w:val="00AB3BB9"/>
    <w:rsid w:val="00AB4C29"/>
    <w:rsid w:val="00AB55E6"/>
    <w:rsid w:val="00AB7C11"/>
    <w:rsid w:val="00AC0CB8"/>
    <w:rsid w:val="00AC29E3"/>
    <w:rsid w:val="00AC5BF6"/>
    <w:rsid w:val="00AD3961"/>
    <w:rsid w:val="00AD3F44"/>
    <w:rsid w:val="00AD400E"/>
    <w:rsid w:val="00AD4470"/>
    <w:rsid w:val="00AD49EB"/>
    <w:rsid w:val="00AD68F2"/>
    <w:rsid w:val="00AE0DDA"/>
    <w:rsid w:val="00AF0C3F"/>
    <w:rsid w:val="00AF19CE"/>
    <w:rsid w:val="00AF5981"/>
    <w:rsid w:val="00AF71A6"/>
    <w:rsid w:val="00AF733F"/>
    <w:rsid w:val="00AF7E6B"/>
    <w:rsid w:val="00B00892"/>
    <w:rsid w:val="00B106B7"/>
    <w:rsid w:val="00B113A1"/>
    <w:rsid w:val="00B122FA"/>
    <w:rsid w:val="00B125CD"/>
    <w:rsid w:val="00B12B0E"/>
    <w:rsid w:val="00B131AF"/>
    <w:rsid w:val="00B13DC3"/>
    <w:rsid w:val="00B17952"/>
    <w:rsid w:val="00B2436E"/>
    <w:rsid w:val="00B24A76"/>
    <w:rsid w:val="00B25150"/>
    <w:rsid w:val="00B253DD"/>
    <w:rsid w:val="00B26B45"/>
    <w:rsid w:val="00B270EA"/>
    <w:rsid w:val="00B31678"/>
    <w:rsid w:val="00B44BC4"/>
    <w:rsid w:val="00B44F6E"/>
    <w:rsid w:val="00B463DB"/>
    <w:rsid w:val="00B46D72"/>
    <w:rsid w:val="00B51273"/>
    <w:rsid w:val="00B52E5A"/>
    <w:rsid w:val="00B601EF"/>
    <w:rsid w:val="00B60514"/>
    <w:rsid w:val="00B609C0"/>
    <w:rsid w:val="00B62380"/>
    <w:rsid w:val="00B62AAB"/>
    <w:rsid w:val="00B65D18"/>
    <w:rsid w:val="00B720A2"/>
    <w:rsid w:val="00B73298"/>
    <w:rsid w:val="00B74024"/>
    <w:rsid w:val="00B75E1A"/>
    <w:rsid w:val="00B774AB"/>
    <w:rsid w:val="00B842EF"/>
    <w:rsid w:val="00B85EAE"/>
    <w:rsid w:val="00B86A8E"/>
    <w:rsid w:val="00B87F40"/>
    <w:rsid w:val="00B92EFA"/>
    <w:rsid w:val="00B92F99"/>
    <w:rsid w:val="00B93AE7"/>
    <w:rsid w:val="00B93E67"/>
    <w:rsid w:val="00B95EF8"/>
    <w:rsid w:val="00B9615D"/>
    <w:rsid w:val="00B97668"/>
    <w:rsid w:val="00B97CB6"/>
    <w:rsid w:val="00BA1DD4"/>
    <w:rsid w:val="00BA2433"/>
    <w:rsid w:val="00BA5BA8"/>
    <w:rsid w:val="00BB0D90"/>
    <w:rsid w:val="00BB2413"/>
    <w:rsid w:val="00BB2998"/>
    <w:rsid w:val="00BB3A63"/>
    <w:rsid w:val="00BB4B18"/>
    <w:rsid w:val="00BB6F8B"/>
    <w:rsid w:val="00BB727E"/>
    <w:rsid w:val="00BC26E1"/>
    <w:rsid w:val="00BC32B7"/>
    <w:rsid w:val="00BC5567"/>
    <w:rsid w:val="00BC71C6"/>
    <w:rsid w:val="00BD19EE"/>
    <w:rsid w:val="00BD1DC0"/>
    <w:rsid w:val="00BD2067"/>
    <w:rsid w:val="00BD2EDF"/>
    <w:rsid w:val="00BD34A4"/>
    <w:rsid w:val="00BD377A"/>
    <w:rsid w:val="00BD5F46"/>
    <w:rsid w:val="00BD6C7B"/>
    <w:rsid w:val="00BE001E"/>
    <w:rsid w:val="00BE24C8"/>
    <w:rsid w:val="00BE405D"/>
    <w:rsid w:val="00BE5481"/>
    <w:rsid w:val="00BE5E9E"/>
    <w:rsid w:val="00BF004F"/>
    <w:rsid w:val="00BF07F3"/>
    <w:rsid w:val="00BF182F"/>
    <w:rsid w:val="00BF3A69"/>
    <w:rsid w:val="00BF5FE1"/>
    <w:rsid w:val="00BF640F"/>
    <w:rsid w:val="00BF782A"/>
    <w:rsid w:val="00BF7A3B"/>
    <w:rsid w:val="00C0006A"/>
    <w:rsid w:val="00C0093D"/>
    <w:rsid w:val="00C02B00"/>
    <w:rsid w:val="00C04104"/>
    <w:rsid w:val="00C06514"/>
    <w:rsid w:val="00C10C9F"/>
    <w:rsid w:val="00C12734"/>
    <w:rsid w:val="00C13C0B"/>
    <w:rsid w:val="00C151FF"/>
    <w:rsid w:val="00C15C01"/>
    <w:rsid w:val="00C15D85"/>
    <w:rsid w:val="00C16D4F"/>
    <w:rsid w:val="00C177E6"/>
    <w:rsid w:val="00C17CB8"/>
    <w:rsid w:val="00C23637"/>
    <w:rsid w:val="00C2478C"/>
    <w:rsid w:val="00C25A99"/>
    <w:rsid w:val="00C26D29"/>
    <w:rsid w:val="00C272E4"/>
    <w:rsid w:val="00C27778"/>
    <w:rsid w:val="00C30165"/>
    <w:rsid w:val="00C304C7"/>
    <w:rsid w:val="00C30ADE"/>
    <w:rsid w:val="00C3121E"/>
    <w:rsid w:val="00C32324"/>
    <w:rsid w:val="00C3551C"/>
    <w:rsid w:val="00C36803"/>
    <w:rsid w:val="00C37379"/>
    <w:rsid w:val="00C4009D"/>
    <w:rsid w:val="00C41D89"/>
    <w:rsid w:val="00C41F51"/>
    <w:rsid w:val="00C42D99"/>
    <w:rsid w:val="00C44C68"/>
    <w:rsid w:val="00C44C86"/>
    <w:rsid w:val="00C46B50"/>
    <w:rsid w:val="00C50BB0"/>
    <w:rsid w:val="00C51B1F"/>
    <w:rsid w:val="00C52F3C"/>
    <w:rsid w:val="00C53FF0"/>
    <w:rsid w:val="00C5457C"/>
    <w:rsid w:val="00C57066"/>
    <w:rsid w:val="00C605E9"/>
    <w:rsid w:val="00C640E6"/>
    <w:rsid w:val="00C64993"/>
    <w:rsid w:val="00C64B44"/>
    <w:rsid w:val="00C65CBA"/>
    <w:rsid w:val="00C66249"/>
    <w:rsid w:val="00C66614"/>
    <w:rsid w:val="00C72EA5"/>
    <w:rsid w:val="00C76C7D"/>
    <w:rsid w:val="00C77C8F"/>
    <w:rsid w:val="00C81266"/>
    <w:rsid w:val="00C81B2C"/>
    <w:rsid w:val="00C930C0"/>
    <w:rsid w:val="00C94511"/>
    <w:rsid w:val="00C96042"/>
    <w:rsid w:val="00C971F0"/>
    <w:rsid w:val="00CA026E"/>
    <w:rsid w:val="00CA1332"/>
    <w:rsid w:val="00CA2F4B"/>
    <w:rsid w:val="00CA3EC9"/>
    <w:rsid w:val="00CA4953"/>
    <w:rsid w:val="00CA4DBF"/>
    <w:rsid w:val="00CA63BE"/>
    <w:rsid w:val="00CA699C"/>
    <w:rsid w:val="00CA6FFE"/>
    <w:rsid w:val="00CA7BB4"/>
    <w:rsid w:val="00CA7FC3"/>
    <w:rsid w:val="00CB00AD"/>
    <w:rsid w:val="00CB3E91"/>
    <w:rsid w:val="00CB4534"/>
    <w:rsid w:val="00CB5BE6"/>
    <w:rsid w:val="00CC1E5F"/>
    <w:rsid w:val="00CC1F18"/>
    <w:rsid w:val="00CC3425"/>
    <w:rsid w:val="00CC48FF"/>
    <w:rsid w:val="00CC4C91"/>
    <w:rsid w:val="00CC6F1F"/>
    <w:rsid w:val="00CD029B"/>
    <w:rsid w:val="00CD1361"/>
    <w:rsid w:val="00CD1637"/>
    <w:rsid w:val="00CD30A6"/>
    <w:rsid w:val="00CD5C63"/>
    <w:rsid w:val="00CD799D"/>
    <w:rsid w:val="00CE04FA"/>
    <w:rsid w:val="00CE1B96"/>
    <w:rsid w:val="00CE30F0"/>
    <w:rsid w:val="00CE7083"/>
    <w:rsid w:val="00CF12E9"/>
    <w:rsid w:val="00CF3C0D"/>
    <w:rsid w:val="00CF4854"/>
    <w:rsid w:val="00D00705"/>
    <w:rsid w:val="00D00C89"/>
    <w:rsid w:val="00D0335E"/>
    <w:rsid w:val="00D0565C"/>
    <w:rsid w:val="00D06B90"/>
    <w:rsid w:val="00D06C55"/>
    <w:rsid w:val="00D10B8C"/>
    <w:rsid w:val="00D12099"/>
    <w:rsid w:val="00D12CCE"/>
    <w:rsid w:val="00D13FDD"/>
    <w:rsid w:val="00D1492D"/>
    <w:rsid w:val="00D15AF6"/>
    <w:rsid w:val="00D2008B"/>
    <w:rsid w:val="00D2121A"/>
    <w:rsid w:val="00D23DCD"/>
    <w:rsid w:val="00D2626C"/>
    <w:rsid w:val="00D270AB"/>
    <w:rsid w:val="00D3092A"/>
    <w:rsid w:val="00D30F02"/>
    <w:rsid w:val="00D3130A"/>
    <w:rsid w:val="00D3189D"/>
    <w:rsid w:val="00D3218E"/>
    <w:rsid w:val="00D3360D"/>
    <w:rsid w:val="00D34477"/>
    <w:rsid w:val="00D36106"/>
    <w:rsid w:val="00D36CAD"/>
    <w:rsid w:val="00D36D3D"/>
    <w:rsid w:val="00D40DCF"/>
    <w:rsid w:val="00D41744"/>
    <w:rsid w:val="00D4354E"/>
    <w:rsid w:val="00D44127"/>
    <w:rsid w:val="00D46196"/>
    <w:rsid w:val="00D47443"/>
    <w:rsid w:val="00D509CA"/>
    <w:rsid w:val="00D510AA"/>
    <w:rsid w:val="00D51159"/>
    <w:rsid w:val="00D516B4"/>
    <w:rsid w:val="00D527A6"/>
    <w:rsid w:val="00D557F0"/>
    <w:rsid w:val="00D6292D"/>
    <w:rsid w:val="00D62ECF"/>
    <w:rsid w:val="00D63BCD"/>
    <w:rsid w:val="00D6421E"/>
    <w:rsid w:val="00D644E1"/>
    <w:rsid w:val="00D73DFF"/>
    <w:rsid w:val="00D74E4E"/>
    <w:rsid w:val="00D815EC"/>
    <w:rsid w:val="00D8561C"/>
    <w:rsid w:val="00D86C2C"/>
    <w:rsid w:val="00D86FB4"/>
    <w:rsid w:val="00D900B8"/>
    <w:rsid w:val="00D91A26"/>
    <w:rsid w:val="00D950DF"/>
    <w:rsid w:val="00D97202"/>
    <w:rsid w:val="00D97C54"/>
    <w:rsid w:val="00D97EE1"/>
    <w:rsid w:val="00DA0DDC"/>
    <w:rsid w:val="00DA2207"/>
    <w:rsid w:val="00DA2887"/>
    <w:rsid w:val="00DA2C43"/>
    <w:rsid w:val="00DA4C50"/>
    <w:rsid w:val="00DA5119"/>
    <w:rsid w:val="00DB09D4"/>
    <w:rsid w:val="00DB6659"/>
    <w:rsid w:val="00DB6A2F"/>
    <w:rsid w:val="00DC1439"/>
    <w:rsid w:val="00DC15D2"/>
    <w:rsid w:val="00DC29D6"/>
    <w:rsid w:val="00DC3682"/>
    <w:rsid w:val="00DC444E"/>
    <w:rsid w:val="00DC4C89"/>
    <w:rsid w:val="00DC62BF"/>
    <w:rsid w:val="00DC67D4"/>
    <w:rsid w:val="00DD0379"/>
    <w:rsid w:val="00DD0684"/>
    <w:rsid w:val="00DD224E"/>
    <w:rsid w:val="00DD55AE"/>
    <w:rsid w:val="00DD7890"/>
    <w:rsid w:val="00DE1E9C"/>
    <w:rsid w:val="00DE1F31"/>
    <w:rsid w:val="00DE353E"/>
    <w:rsid w:val="00DE3F2E"/>
    <w:rsid w:val="00DE410A"/>
    <w:rsid w:val="00DE68F1"/>
    <w:rsid w:val="00DE6C07"/>
    <w:rsid w:val="00DF0A9C"/>
    <w:rsid w:val="00DF29D7"/>
    <w:rsid w:val="00DF4663"/>
    <w:rsid w:val="00DF5D60"/>
    <w:rsid w:val="00E03F8C"/>
    <w:rsid w:val="00E045B3"/>
    <w:rsid w:val="00E0793F"/>
    <w:rsid w:val="00E107A3"/>
    <w:rsid w:val="00E1161B"/>
    <w:rsid w:val="00E11A53"/>
    <w:rsid w:val="00E11B43"/>
    <w:rsid w:val="00E13B1C"/>
    <w:rsid w:val="00E13B69"/>
    <w:rsid w:val="00E13E82"/>
    <w:rsid w:val="00E14714"/>
    <w:rsid w:val="00E14881"/>
    <w:rsid w:val="00E14B86"/>
    <w:rsid w:val="00E164DD"/>
    <w:rsid w:val="00E16761"/>
    <w:rsid w:val="00E21F2C"/>
    <w:rsid w:val="00E22002"/>
    <w:rsid w:val="00E2420F"/>
    <w:rsid w:val="00E24773"/>
    <w:rsid w:val="00E318D6"/>
    <w:rsid w:val="00E326DC"/>
    <w:rsid w:val="00E32AD4"/>
    <w:rsid w:val="00E3439F"/>
    <w:rsid w:val="00E371AD"/>
    <w:rsid w:val="00E37C54"/>
    <w:rsid w:val="00E42467"/>
    <w:rsid w:val="00E4278C"/>
    <w:rsid w:val="00E43105"/>
    <w:rsid w:val="00E43EF3"/>
    <w:rsid w:val="00E469EA"/>
    <w:rsid w:val="00E4770E"/>
    <w:rsid w:val="00E51415"/>
    <w:rsid w:val="00E53019"/>
    <w:rsid w:val="00E53B63"/>
    <w:rsid w:val="00E545F7"/>
    <w:rsid w:val="00E5520D"/>
    <w:rsid w:val="00E55872"/>
    <w:rsid w:val="00E57C0A"/>
    <w:rsid w:val="00E60159"/>
    <w:rsid w:val="00E6130D"/>
    <w:rsid w:val="00E63A7F"/>
    <w:rsid w:val="00E70844"/>
    <w:rsid w:val="00E7336C"/>
    <w:rsid w:val="00E74A73"/>
    <w:rsid w:val="00E80322"/>
    <w:rsid w:val="00E81731"/>
    <w:rsid w:val="00E82094"/>
    <w:rsid w:val="00E84C96"/>
    <w:rsid w:val="00E90020"/>
    <w:rsid w:val="00E9133C"/>
    <w:rsid w:val="00E9142A"/>
    <w:rsid w:val="00E91A69"/>
    <w:rsid w:val="00E9202E"/>
    <w:rsid w:val="00E93678"/>
    <w:rsid w:val="00E94214"/>
    <w:rsid w:val="00E954DB"/>
    <w:rsid w:val="00E95BFF"/>
    <w:rsid w:val="00E9662E"/>
    <w:rsid w:val="00E978F2"/>
    <w:rsid w:val="00EA4CD7"/>
    <w:rsid w:val="00EB2D9C"/>
    <w:rsid w:val="00EB4F9F"/>
    <w:rsid w:val="00EB78E0"/>
    <w:rsid w:val="00EB7A64"/>
    <w:rsid w:val="00EB7E5D"/>
    <w:rsid w:val="00EC0291"/>
    <w:rsid w:val="00EC0294"/>
    <w:rsid w:val="00EC1BE9"/>
    <w:rsid w:val="00EC4412"/>
    <w:rsid w:val="00EC7AE6"/>
    <w:rsid w:val="00ED0F45"/>
    <w:rsid w:val="00ED16DF"/>
    <w:rsid w:val="00ED7702"/>
    <w:rsid w:val="00ED794D"/>
    <w:rsid w:val="00EE13DF"/>
    <w:rsid w:val="00EE27E5"/>
    <w:rsid w:val="00EE69F4"/>
    <w:rsid w:val="00EF1FA1"/>
    <w:rsid w:val="00EF2746"/>
    <w:rsid w:val="00EF4C95"/>
    <w:rsid w:val="00EF500A"/>
    <w:rsid w:val="00F036BC"/>
    <w:rsid w:val="00F0477D"/>
    <w:rsid w:val="00F05F80"/>
    <w:rsid w:val="00F0722D"/>
    <w:rsid w:val="00F074F7"/>
    <w:rsid w:val="00F1382D"/>
    <w:rsid w:val="00F140A1"/>
    <w:rsid w:val="00F1566A"/>
    <w:rsid w:val="00F15916"/>
    <w:rsid w:val="00F15F81"/>
    <w:rsid w:val="00F1639A"/>
    <w:rsid w:val="00F16F24"/>
    <w:rsid w:val="00F20779"/>
    <w:rsid w:val="00F20900"/>
    <w:rsid w:val="00F22B38"/>
    <w:rsid w:val="00F24738"/>
    <w:rsid w:val="00F267E6"/>
    <w:rsid w:val="00F30168"/>
    <w:rsid w:val="00F34CC5"/>
    <w:rsid w:val="00F35D2F"/>
    <w:rsid w:val="00F37D64"/>
    <w:rsid w:val="00F40958"/>
    <w:rsid w:val="00F409F2"/>
    <w:rsid w:val="00F4171D"/>
    <w:rsid w:val="00F41C50"/>
    <w:rsid w:val="00F42167"/>
    <w:rsid w:val="00F42D7E"/>
    <w:rsid w:val="00F43C0B"/>
    <w:rsid w:val="00F46046"/>
    <w:rsid w:val="00F471A7"/>
    <w:rsid w:val="00F5068B"/>
    <w:rsid w:val="00F53F52"/>
    <w:rsid w:val="00F5471E"/>
    <w:rsid w:val="00F547C8"/>
    <w:rsid w:val="00F5606D"/>
    <w:rsid w:val="00F57803"/>
    <w:rsid w:val="00F61520"/>
    <w:rsid w:val="00F6376A"/>
    <w:rsid w:val="00F64282"/>
    <w:rsid w:val="00F64CED"/>
    <w:rsid w:val="00F66D85"/>
    <w:rsid w:val="00F703E0"/>
    <w:rsid w:val="00F72AD2"/>
    <w:rsid w:val="00F72F8A"/>
    <w:rsid w:val="00F73053"/>
    <w:rsid w:val="00F75910"/>
    <w:rsid w:val="00F779C1"/>
    <w:rsid w:val="00F80C84"/>
    <w:rsid w:val="00F80F06"/>
    <w:rsid w:val="00F81158"/>
    <w:rsid w:val="00F83D60"/>
    <w:rsid w:val="00F84F72"/>
    <w:rsid w:val="00F863A8"/>
    <w:rsid w:val="00F93383"/>
    <w:rsid w:val="00F93B2F"/>
    <w:rsid w:val="00F947A8"/>
    <w:rsid w:val="00F94AB3"/>
    <w:rsid w:val="00F96D49"/>
    <w:rsid w:val="00F97DA8"/>
    <w:rsid w:val="00FA16CC"/>
    <w:rsid w:val="00FA4121"/>
    <w:rsid w:val="00FA63C5"/>
    <w:rsid w:val="00FA7BEF"/>
    <w:rsid w:val="00FB019F"/>
    <w:rsid w:val="00FB1692"/>
    <w:rsid w:val="00FB2A30"/>
    <w:rsid w:val="00FB3475"/>
    <w:rsid w:val="00FC01D6"/>
    <w:rsid w:val="00FC0AE8"/>
    <w:rsid w:val="00FC15A1"/>
    <w:rsid w:val="00FC2BA8"/>
    <w:rsid w:val="00FC59C5"/>
    <w:rsid w:val="00FC6B9A"/>
    <w:rsid w:val="00FC72C8"/>
    <w:rsid w:val="00FC7CCD"/>
    <w:rsid w:val="00FD5D64"/>
    <w:rsid w:val="00FD644B"/>
    <w:rsid w:val="00FD6486"/>
    <w:rsid w:val="00FD65C0"/>
    <w:rsid w:val="00FE0340"/>
    <w:rsid w:val="00FE3119"/>
    <w:rsid w:val="00FE3868"/>
    <w:rsid w:val="00FE400E"/>
    <w:rsid w:val="00FE4D11"/>
    <w:rsid w:val="00FE6BE7"/>
    <w:rsid w:val="00FF3F69"/>
    <w:rsid w:val="00FF42DC"/>
    <w:rsid w:val="00FF43EF"/>
    <w:rsid w:val="00FF57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B03A3"/>
  <w15:docId w15:val="{4F301BFF-598E-4811-9C8D-D79709433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D30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76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6369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6369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16CC"/>
    <w:rPr>
      <w:color w:val="0000FF" w:themeColor="hyperlink"/>
      <w:u w:val="single"/>
    </w:rPr>
  </w:style>
  <w:style w:type="paragraph" w:styleId="ListParagraph">
    <w:name w:val="List Paragraph"/>
    <w:basedOn w:val="Normal"/>
    <w:uiPriority w:val="34"/>
    <w:qFormat/>
    <w:rsid w:val="00256CE7"/>
    <w:pPr>
      <w:ind w:left="720"/>
      <w:contextualSpacing/>
    </w:pPr>
  </w:style>
  <w:style w:type="paragraph" w:styleId="NoSpacing">
    <w:name w:val="No Spacing"/>
    <w:uiPriority w:val="1"/>
    <w:qFormat/>
    <w:rsid w:val="00256CE7"/>
    <w:pPr>
      <w:spacing w:after="0" w:line="240" w:lineRule="auto"/>
    </w:pPr>
  </w:style>
  <w:style w:type="paragraph" w:styleId="BalloonText">
    <w:name w:val="Balloon Text"/>
    <w:basedOn w:val="Normal"/>
    <w:link w:val="BalloonTextChar"/>
    <w:uiPriority w:val="99"/>
    <w:semiHidden/>
    <w:unhideWhenUsed/>
    <w:rsid w:val="002E0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8C1"/>
    <w:rPr>
      <w:rFonts w:ascii="Tahoma" w:hAnsi="Tahoma" w:cs="Tahoma"/>
      <w:sz w:val="16"/>
      <w:szCs w:val="16"/>
    </w:rPr>
  </w:style>
  <w:style w:type="character" w:styleId="CommentReference">
    <w:name w:val="annotation reference"/>
    <w:basedOn w:val="DefaultParagraphFont"/>
    <w:uiPriority w:val="99"/>
    <w:semiHidden/>
    <w:unhideWhenUsed/>
    <w:rsid w:val="002B3029"/>
    <w:rPr>
      <w:sz w:val="16"/>
      <w:szCs w:val="16"/>
    </w:rPr>
  </w:style>
  <w:style w:type="paragraph" w:styleId="CommentText">
    <w:name w:val="annotation text"/>
    <w:basedOn w:val="Normal"/>
    <w:link w:val="CommentTextChar"/>
    <w:uiPriority w:val="99"/>
    <w:unhideWhenUsed/>
    <w:rsid w:val="002B3029"/>
    <w:pPr>
      <w:spacing w:line="240" w:lineRule="auto"/>
    </w:pPr>
    <w:rPr>
      <w:sz w:val="20"/>
      <w:szCs w:val="20"/>
    </w:rPr>
  </w:style>
  <w:style w:type="character" w:customStyle="1" w:styleId="CommentTextChar">
    <w:name w:val="Comment Text Char"/>
    <w:basedOn w:val="DefaultParagraphFont"/>
    <w:link w:val="CommentText"/>
    <w:uiPriority w:val="99"/>
    <w:rsid w:val="002B3029"/>
    <w:rPr>
      <w:sz w:val="20"/>
      <w:szCs w:val="20"/>
    </w:rPr>
  </w:style>
  <w:style w:type="paragraph" w:styleId="CommentSubject">
    <w:name w:val="annotation subject"/>
    <w:basedOn w:val="CommentText"/>
    <w:next w:val="CommentText"/>
    <w:link w:val="CommentSubjectChar"/>
    <w:uiPriority w:val="99"/>
    <w:semiHidden/>
    <w:unhideWhenUsed/>
    <w:rsid w:val="002B3029"/>
    <w:rPr>
      <w:b/>
      <w:bCs/>
    </w:rPr>
  </w:style>
  <w:style w:type="character" w:customStyle="1" w:styleId="CommentSubjectChar">
    <w:name w:val="Comment Subject Char"/>
    <w:basedOn w:val="CommentTextChar"/>
    <w:link w:val="CommentSubject"/>
    <w:uiPriority w:val="99"/>
    <w:semiHidden/>
    <w:rsid w:val="002B3029"/>
    <w:rPr>
      <w:b/>
      <w:bCs/>
      <w:sz w:val="20"/>
      <w:szCs w:val="20"/>
    </w:rPr>
  </w:style>
  <w:style w:type="table" w:styleId="TableGrid">
    <w:name w:val="Table Grid"/>
    <w:basedOn w:val="TableNormal"/>
    <w:uiPriority w:val="59"/>
    <w:rsid w:val="002B3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E954D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E954D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rsid w:val="00CD30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976CF"/>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2E2C29"/>
    <w:rPr>
      <w:color w:val="800080" w:themeColor="followedHyperlink"/>
      <w:u w:val="single"/>
    </w:rPr>
  </w:style>
  <w:style w:type="paragraph" w:styleId="Revision">
    <w:name w:val="Revision"/>
    <w:hidden/>
    <w:uiPriority w:val="99"/>
    <w:semiHidden/>
    <w:rsid w:val="000D3749"/>
    <w:pPr>
      <w:spacing w:after="0" w:line="240" w:lineRule="auto"/>
    </w:pPr>
  </w:style>
  <w:style w:type="table" w:customStyle="1" w:styleId="ListTable2-Accent11">
    <w:name w:val="List Table 2 - Accent 11"/>
    <w:basedOn w:val="TableNormal"/>
    <w:uiPriority w:val="47"/>
    <w:rsid w:val="0017368D"/>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
    <w:rsid w:val="0056369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563690"/>
    <w:rPr>
      <w:rFonts w:asciiTheme="majorHAnsi" w:eastAsiaTheme="majorEastAsia" w:hAnsiTheme="majorHAnsi" w:cstheme="majorBidi"/>
      <w:color w:val="365F91" w:themeColor="accent1" w:themeShade="BF"/>
    </w:rPr>
  </w:style>
  <w:style w:type="paragraph" w:customStyle="1" w:styleId="EndNoteBibliographyTitle">
    <w:name w:val="EndNote Bibliography Title"/>
    <w:basedOn w:val="Normal"/>
    <w:link w:val="EndNoteBibliographyTitleChar"/>
    <w:rsid w:val="005A3812"/>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A3812"/>
    <w:rPr>
      <w:rFonts w:ascii="Calibri" w:hAnsi="Calibri"/>
      <w:noProof/>
      <w:lang w:val="en-US"/>
    </w:rPr>
  </w:style>
  <w:style w:type="paragraph" w:customStyle="1" w:styleId="EndNoteBibliography">
    <w:name w:val="EndNote Bibliography"/>
    <w:basedOn w:val="Normal"/>
    <w:link w:val="EndNoteBibliographyChar"/>
    <w:rsid w:val="005A3812"/>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5A3812"/>
    <w:rPr>
      <w:rFonts w:ascii="Calibri" w:hAnsi="Calibri"/>
      <w:noProof/>
      <w:lang w:val="en-US"/>
    </w:rPr>
  </w:style>
  <w:style w:type="paragraph" w:styleId="FootnoteText">
    <w:name w:val="footnote text"/>
    <w:basedOn w:val="Normal"/>
    <w:link w:val="FootnoteTextChar"/>
    <w:uiPriority w:val="99"/>
    <w:unhideWhenUsed/>
    <w:rsid w:val="0018061F"/>
    <w:pPr>
      <w:spacing w:after="0" w:line="240" w:lineRule="auto"/>
    </w:pPr>
    <w:rPr>
      <w:sz w:val="20"/>
      <w:szCs w:val="20"/>
    </w:rPr>
  </w:style>
  <w:style w:type="character" w:customStyle="1" w:styleId="FootnoteTextChar">
    <w:name w:val="Footnote Text Char"/>
    <w:basedOn w:val="DefaultParagraphFont"/>
    <w:link w:val="FootnoteText"/>
    <w:uiPriority w:val="99"/>
    <w:rsid w:val="0018061F"/>
    <w:rPr>
      <w:sz w:val="20"/>
      <w:szCs w:val="20"/>
    </w:rPr>
  </w:style>
  <w:style w:type="character" w:styleId="FootnoteReference">
    <w:name w:val="footnote reference"/>
    <w:basedOn w:val="DefaultParagraphFont"/>
    <w:uiPriority w:val="99"/>
    <w:semiHidden/>
    <w:unhideWhenUsed/>
    <w:rsid w:val="0018061F"/>
    <w:rPr>
      <w:vertAlign w:val="superscript"/>
    </w:rPr>
  </w:style>
  <w:style w:type="paragraph" w:styleId="EndnoteText">
    <w:name w:val="endnote text"/>
    <w:basedOn w:val="Normal"/>
    <w:link w:val="EndnoteTextChar"/>
    <w:uiPriority w:val="99"/>
    <w:semiHidden/>
    <w:unhideWhenUsed/>
    <w:rsid w:val="006460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60A1"/>
    <w:rPr>
      <w:sz w:val="20"/>
      <w:szCs w:val="20"/>
    </w:rPr>
  </w:style>
  <w:style w:type="character" w:styleId="EndnoteReference">
    <w:name w:val="endnote reference"/>
    <w:basedOn w:val="DefaultParagraphFont"/>
    <w:uiPriority w:val="99"/>
    <w:semiHidden/>
    <w:unhideWhenUsed/>
    <w:rsid w:val="006460A1"/>
    <w:rPr>
      <w:vertAlign w:val="superscript"/>
    </w:rPr>
  </w:style>
  <w:style w:type="paragraph" w:styleId="Header">
    <w:name w:val="header"/>
    <w:basedOn w:val="Normal"/>
    <w:link w:val="HeaderChar"/>
    <w:uiPriority w:val="99"/>
    <w:unhideWhenUsed/>
    <w:rsid w:val="003912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12F8"/>
  </w:style>
  <w:style w:type="paragraph" w:styleId="Footer">
    <w:name w:val="footer"/>
    <w:basedOn w:val="Normal"/>
    <w:link w:val="FooterChar"/>
    <w:uiPriority w:val="99"/>
    <w:unhideWhenUsed/>
    <w:rsid w:val="003912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12F8"/>
  </w:style>
  <w:style w:type="paragraph" w:customStyle="1" w:styleId="Body">
    <w:name w:val="Body"/>
    <w:basedOn w:val="Normal"/>
    <w:rsid w:val="008036FA"/>
    <w:pPr>
      <w:spacing w:before="120" w:after="0" w:line="280" w:lineRule="exact"/>
      <w:jc w:val="both"/>
    </w:pPr>
    <w:rPr>
      <w:rFonts w:ascii="Times" w:eastAsia="Times New Roman" w:hAnsi="Times" w:cs="Times New Roman"/>
      <w:sz w:val="24"/>
      <w:szCs w:val="20"/>
      <w:lang w:val="en-US"/>
    </w:rPr>
  </w:style>
  <w:style w:type="paragraph" w:customStyle="1" w:styleId="References">
    <w:name w:val="References"/>
    <w:basedOn w:val="Body"/>
    <w:rsid w:val="008036FA"/>
    <w:pPr>
      <w:spacing w:before="60" w:after="20" w:line="220" w:lineRule="exact"/>
      <w:ind w:firstLine="270"/>
    </w:pPr>
    <w:rPr>
      <w:sz w:val="20"/>
    </w:rPr>
  </w:style>
  <w:style w:type="character" w:styleId="PageNumber">
    <w:name w:val="page number"/>
    <w:basedOn w:val="DefaultParagraphFont"/>
    <w:uiPriority w:val="99"/>
    <w:semiHidden/>
    <w:unhideWhenUsed/>
    <w:rsid w:val="008036FA"/>
  </w:style>
  <w:style w:type="paragraph" w:customStyle="1" w:styleId="ReferenceHeader">
    <w:name w:val="Reference Header"/>
    <w:basedOn w:val="Body"/>
    <w:rsid w:val="008036FA"/>
    <w:rPr>
      <w:i/>
      <w:u w:val="single"/>
    </w:rPr>
  </w:style>
  <w:style w:type="table" w:customStyle="1" w:styleId="ListTable3-Accent51">
    <w:name w:val="List Table 3 - Accent 51"/>
    <w:basedOn w:val="TableNormal"/>
    <w:uiPriority w:val="48"/>
    <w:rsid w:val="00F703E0"/>
    <w:pPr>
      <w:spacing w:after="0" w:line="240" w:lineRule="auto"/>
    </w:pPr>
    <w:rPr>
      <w:rFonts w:ascii="Calibri" w:eastAsia="Calibri" w:hAnsi="Calibri" w:cs="Times New Roman"/>
      <w:sz w:val="20"/>
      <w:szCs w:val="20"/>
      <w:lang w:val="nl-NL" w:eastAsia="nl-NL"/>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6068">
      <w:bodyDiv w:val="1"/>
      <w:marLeft w:val="0"/>
      <w:marRight w:val="0"/>
      <w:marTop w:val="0"/>
      <w:marBottom w:val="0"/>
      <w:divBdr>
        <w:top w:val="none" w:sz="0" w:space="0" w:color="auto"/>
        <w:left w:val="none" w:sz="0" w:space="0" w:color="auto"/>
        <w:bottom w:val="none" w:sz="0" w:space="0" w:color="auto"/>
        <w:right w:val="none" w:sz="0" w:space="0" w:color="auto"/>
      </w:divBdr>
      <w:divsChild>
        <w:div w:id="1813135761">
          <w:marLeft w:val="0"/>
          <w:marRight w:val="0"/>
          <w:marTop w:val="0"/>
          <w:marBottom w:val="0"/>
          <w:divBdr>
            <w:top w:val="none" w:sz="0" w:space="0" w:color="auto"/>
            <w:left w:val="none" w:sz="0" w:space="0" w:color="auto"/>
            <w:bottom w:val="none" w:sz="0" w:space="0" w:color="auto"/>
            <w:right w:val="none" w:sz="0" w:space="0" w:color="auto"/>
          </w:divBdr>
          <w:divsChild>
            <w:div w:id="1756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6871">
      <w:bodyDiv w:val="1"/>
      <w:marLeft w:val="0"/>
      <w:marRight w:val="0"/>
      <w:marTop w:val="0"/>
      <w:marBottom w:val="0"/>
      <w:divBdr>
        <w:top w:val="none" w:sz="0" w:space="0" w:color="auto"/>
        <w:left w:val="none" w:sz="0" w:space="0" w:color="auto"/>
        <w:bottom w:val="none" w:sz="0" w:space="0" w:color="auto"/>
        <w:right w:val="none" w:sz="0" w:space="0" w:color="auto"/>
      </w:divBdr>
    </w:div>
    <w:div w:id="548035619">
      <w:bodyDiv w:val="1"/>
      <w:marLeft w:val="0"/>
      <w:marRight w:val="0"/>
      <w:marTop w:val="0"/>
      <w:marBottom w:val="0"/>
      <w:divBdr>
        <w:top w:val="none" w:sz="0" w:space="0" w:color="auto"/>
        <w:left w:val="none" w:sz="0" w:space="0" w:color="auto"/>
        <w:bottom w:val="none" w:sz="0" w:space="0" w:color="auto"/>
        <w:right w:val="none" w:sz="0" w:space="0" w:color="auto"/>
      </w:divBdr>
    </w:div>
    <w:div w:id="797721169">
      <w:bodyDiv w:val="1"/>
      <w:marLeft w:val="0"/>
      <w:marRight w:val="0"/>
      <w:marTop w:val="0"/>
      <w:marBottom w:val="0"/>
      <w:divBdr>
        <w:top w:val="none" w:sz="0" w:space="0" w:color="auto"/>
        <w:left w:val="none" w:sz="0" w:space="0" w:color="auto"/>
        <w:bottom w:val="none" w:sz="0" w:space="0" w:color="auto"/>
        <w:right w:val="none" w:sz="0" w:space="0" w:color="auto"/>
      </w:divBdr>
    </w:div>
    <w:div w:id="1094277462">
      <w:bodyDiv w:val="1"/>
      <w:marLeft w:val="0"/>
      <w:marRight w:val="0"/>
      <w:marTop w:val="0"/>
      <w:marBottom w:val="0"/>
      <w:divBdr>
        <w:top w:val="none" w:sz="0" w:space="0" w:color="auto"/>
        <w:left w:val="none" w:sz="0" w:space="0" w:color="auto"/>
        <w:bottom w:val="none" w:sz="0" w:space="0" w:color="auto"/>
        <w:right w:val="none" w:sz="0" w:space="0" w:color="auto"/>
      </w:divBdr>
    </w:div>
    <w:div w:id="1115952288">
      <w:bodyDiv w:val="1"/>
      <w:marLeft w:val="0"/>
      <w:marRight w:val="0"/>
      <w:marTop w:val="0"/>
      <w:marBottom w:val="0"/>
      <w:divBdr>
        <w:top w:val="none" w:sz="0" w:space="0" w:color="auto"/>
        <w:left w:val="none" w:sz="0" w:space="0" w:color="auto"/>
        <w:bottom w:val="none" w:sz="0" w:space="0" w:color="auto"/>
        <w:right w:val="none" w:sz="0" w:space="0" w:color="auto"/>
      </w:divBdr>
    </w:div>
    <w:div w:id="211871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ata.ene.iiasa.ac.at/message-globiom" TargetMode="Externa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file:///\\Client\Y$\ontwapps\Timer\Users\Mathijs\Projects\EMF30\EMF30%20-%20info\INDC%20paper\Submissions\Submission%202%20_%20August%202018\Additional%20Analysis\www.pbl.nl\en" TargetMode="External"/><Relationship Id="rId17" Type="http://schemas.openxmlformats.org/officeDocument/2006/relationships/image" Target="media/image3.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emasites.pbl.nl/models/image/index.php/IMAGE_framework" TargetMode="Externa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ntcat.iiasa.ac.at/EMF30DB" TargetMode="External"/><Relationship Id="rId23" Type="http://schemas.openxmlformats.org/officeDocument/2006/relationships/image" Target="media/image9.emf"/><Relationship Id="rId28" Type="http://schemas.openxmlformats.org/officeDocument/2006/relationships/image" Target="media/image14.png"/><Relationship Id="rId10" Type="http://schemas.openxmlformats.org/officeDocument/2006/relationships/hyperlink" Target="http://themasites.pbl.nl/models/image/index.php/Welcome_to_IMAGE_3.0_Documentation"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73FF2-5285-4819-B6FA-9ABA3102A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14356</Words>
  <Characters>78963</Characters>
  <Application>Microsoft Office Word</Application>
  <DocSecurity>0</DocSecurity>
  <Lines>658</Lines>
  <Paragraphs>186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PBL</Company>
  <LinksUpToDate>false</LinksUpToDate>
  <CharactersWithSpaces>93133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Harmsen, Mathijs</dc:creator>
  <cp:keywords/>
  <dc:description/>
  <cp:lastModifiedBy>Harmsen, Mathijs</cp:lastModifiedBy>
  <cp:revision>5</cp:revision>
  <cp:lastPrinted>2018-09-24T07:34:00Z</cp:lastPrinted>
  <dcterms:created xsi:type="dcterms:W3CDTF">2018-10-04T12:33:00Z</dcterms:created>
  <dcterms:modified xsi:type="dcterms:W3CDTF">2019-02-27T08:59:00Z</dcterms:modified>
</cp:coreProperties>
</file>