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B9AC6" w14:textId="067ED291" w:rsidR="005D272C" w:rsidRDefault="009D1ED2" w:rsidP="009D1ED2">
      <w:pPr>
        <w:pStyle w:val="Title"/>
      </w:pPr>
      <w:r>
        <w:t>Exposure coefficients in the EUCalculator</w:t>
      </w:r>
    </w:p>
    <w:p w14:paraId="4A60B2A5" w14:textId="7AB23B58" w:rsidR="009D1ED2" w:rsidRDefault="009D1ED2"/>
    <w:p w14:paraId="229B8792" w14:textId="0A5C9DB1" w:rsidR="009D1ED2" w:rsidRPr="001566EC" w:rsidRDefault="009D1ED2" w:rsidP="009D1ED2">
      <w:pPr>
        <w:pStyle w:val="Subtitle"/>
        <w:jc w:val="center"/>
        <w:rPr>
          <w:lang w:val="de-AT"/>
        </w:rPr>
      </w:pPr>
      <w:r w:rsidRPr="001566EC">
        <w:rPr>
          <w:lang w:val="de-AT"/>
        </w:rPr>
        <w:t>Fabian Wagner</w:t>
      </w:r>
      <w:r w:rsidR="001566EC">
        <w:rPr>
          <w:rStyle w:val="FootnoteReference"/>
          <w:lang w:val="de-AT"/>
        </w:rPr>
        <w:footnoteReference w:id="1"/>
      </w:r>
      <w:r w:rsidRPr="001566EC">
        <w:rPr>
          <w:lang w:val="de-AT"/>
        </w:rPr>
        <w:t xml:space="preserve">, </w:t>
      </w:r>
      <w:r w:rsidR="001566EC">
        <w:rPr>
          <w:lang w:val="de-AT"/>
        </w:rPr>
        <w:t xml:space="preserve">Jens Borken-Kleefeld, </w:t>
      </w:r>
      <w:r w:rsidRPr="001566EC">
        <w:rPr>
          <w:lang w:val="de-AT"/>
        </w:rPr>
        <w:t xml:space="preserve">Gregor Kiesewetter, </w:t>
      </w:r>
      <w:r w:rsidR="001566EC">
        <w:rPr>
          <w:lang w:val="de-AT"/>
        </w:rPr>
        <w:t xml:space="preserve">Zbigniew Klimont, </w:t>
      </w:r>
      <w:r w:rsidRPr="001566EC">
        <w:rPr>
          <w:lang w:val="de-AT"/>
        </w:rPr>
        <w:t>Wolfgang Schoepp, Markus Amann</w:t>
      </w:r>
    </w:p>
    <w:p w14:paraId="3EE991DA" w14:textId="52793917" w:rsidR="009D1ED2" w:rsidRPr="009D1ED2" w:rsidRDefault="009D1ED2" w:rsidP="009D1ED2">
      <w:pPr>
        <w:pStyle w:val="Subtitle"/>
        <w:jc w:val="center"/>
      </w:pPr>
      <w:r w:rsidRPr="009D1ED2">
        <w:t>International Institute for Applied Systems Analysis</w:t>
      </w:r>
    </w:p>
    <w:p w14:paraId="0C50FAE0" w14:textId="3399002E" w:rsidR="009D1ED2" w:rsidRDefault="009D1ED2" w:rsidP="009D1ED2">
      <w:pPr>
        <w:pStyle w:val="Subtitle"/>
        <w:jc w:val="center"/>
      </w:pPr>
      <w:r w:rsidRPr="009D1ED2">
        <w:t>Schlossplatz 1, 2361 Laxenburg</w:t>
      </w:r>
    </w:p>
    <w:p w14:paraId="0FA8B5C9" w14:textId="2DEE2ED4" w:rsidR="001566EC" w:rsidRPr="001566EC" w:rsidRDefault="001566EC" w:rsidP="001566EC">
      <w:pPr>
        <w:jc w:val="center"/>
      </w:pPr>
      <w:r>
        <w:t>26 August 2019</w:t>
      </w:r>
    </w:p>
    <w:p w14:paraId="496144CB" w14:textId="77777777" w:rsidR="001566EC" w:rsidRPr="001566EC" w:rsidRDefault="001566EC" w:rsidP="001566EC"/>
    <w:p w14:paraId="71187097" w14:textId="51A43A0E" w:rsidR="009D1ED2" w:rsidRDefault="009D1ED2"/>
    <w:p w14:paraId="245405D3" w14:textId="46704838" w:rsidR="009D1ED2" w:rsidRDefault="009D1ED2"/>
    <w:p w14:paraId="5C8F5AA4" w14:textId="3EF9CE4F" w:rsidR="009D1ED2" w:rsidRDefault="009D1ED2" w:rsidP="009D1ED2">
      <w:pPr>
        <w:pStyle w:val="Heading1"/>
      </w:pPr>
      <w:r>
        <w:t>Introduction</w:t>
      </w:r>
    </w:p>
    <w:p w14:paraId="106C7F46" w14:textId="7875672E" w:rsidR="009D1ED2" w:rsidRDefault="00331AF7" w:rsidP="001566EC">
      <w:pPr>
        <w:jc w:val="both"/>
      </w:pPr>
      <w:r>
        <w:t xml:space="preserve">The exposure coefficients of the EUCalculator (EUC) are based on the GAINS model. </w:t>
      </w:r>
      <w:r w:rsidR="002E1E31">
        <w:t xml:space="preserve">The GAINS model methodology is described in </w:t>
      </w:r>
      <w:r w:rsidR="002E1E31">
        <w:fldChar w:fldCharType="begin"/>
      </w:r>
      <w:r w:rsidR="002E1E31">
        <w:instrText xml:space="preserve"> ADDIN ZOTERO_ITEM CSL_CITATION {"citationID":"XZDf8ZkC","properties":{"formattedCitation":"(Amann et al., 2011)","plainCitation":"(Amann et al., 2011)","noteIndex":0},"citationItems":[{"id":11616,"uris":["http://zotero.org/groups/14748/items/IXA37ZUS"],"uri":["http://zotero.org/groups/14748/items/IXA37ZUS"],"itemData":{"id":11616,"type":"article-journal","title":"Cost-effective control of air quality and greenhouse gases in Europe: Modeling and policy applications","container-title":"Environmental Modelling &amp; Software","page":"1489-1501","volume":"26","issue":"12","source":"ScienceDirect","abstract":"Environmental policies in Europe have successfully eliminated the most visible and immediate harmful effects of air pollution in the last decades. However, there is ample and robust scientific evidence that even at present rates Europe’s emissions to the atmosphere pose a significant threat to human health, ecosystems and the global climate, though in a less visible and immediate way. As many of the ‘low hanging fruits’ have been harvested by now, further action will place higher demands on economic resources, especially at a time when resources are strained by an economic crisis. In addition, interactions and interdependencies of the various measures could even lead to counter-productive outcomes of strategies if they are ignored.\n\nIntegrated assessment models, such as the GAINS (Greenhouse gas – Air pollution Interactions and Synergies) model, have been developed to identify portfolios of measures that improve air quality and reduce greenhouse gas emissions at least cost. Such models bring together scientific knowledge and quality-controlled data on future socio-economic driving forces of emissions, on the technical and economic features of the available emission control options, on the chemical transformation and dispersion of pollutants in the atmosphere, and the resulting impacts on human health and the environment. The GAINS model and its predecessor have been used to inform the key negotiations on air pollution control agreements in Europe during the last two decades.\n\nThis paper describes the methodological approach of the GAINS model and its components. It presents a recent policy analysis that explores the likely future development of emissions and air quality in Europe in the absence of further policy measures, and assesses the potential and costs for further environmental improvements. To inform the forthcoming negotiations on the revision of the Gothenburg Protocol of the Convention on Long-range Transboundary Air Pollution, the paper discusses the implications of alternative formulations of environmental policy targets on a cost-effective allocation of further mitigation measures.","DOI":"10.1016/j.envsoft.2011.07.012","ISSN":"1364-8152","title-short":"Cost-effective control of air quality and greenhouse gases in Europe","author":[{"family":"Amann","given":"Markus"},{"family":"Bertok","given":"Imrich"},{"family":"Borken-Kleefeld","given":"Jens"},{"family":"Cofala","given":"Janusz"},{"family":"Heyes","given":"Chris"},{"family":"Höglund-Isaksson","given":"Lena"},{"family":"Klimont","given":"Zbigniew"},{"family":"Nguyen","given":"Binh"},{"family":"Posch","given":"Maximilian"},{"family":"Rafaj","given":"Peter"},{"family":"Sandler","given":"Robert"},{"family":"Schöpp","given":"Wolfgang"},{"family":"Wagner","given":"Fabian"},{"family":"Winiwarter","given":"Wilfried"}],"issued":{"date-parts":[["2011"]],"season":"Dezember"}}}],"schema":"https://github.com/citation-style-language/schema/raw/master/csl-citation.json"} </w:instrText>
      </w:r>
      <w:r w:rsidR="002E1E31">
        <w:fldChar w:fldCharType="separate"/>
      </w:r>
      <w:r w:rsidR="007F7077" w:rsidRPr="007F7077">
        <w:rPr>
          <w:rFonts w:ascii="Calibri" w:hAnsi="Calibri" w:cs="Calibri"/>
        </w:rPr>
        <w:t>(Amann et al., 2011)</w:t>
      </w:r>
      <w:r w:rsidR="002E1E31">
        <w:fldChar w:fldCharType="end"/>
      </w:r>
      <w:r w:rsidR="002E1E31">
        <w:t xml:space="preserve">. </w:t>
      </w:r>
      <w:r>
        <w:t>It is an integrated assessment model of air pollution, and features both an emissions model for various air pollutants</w:t>
      </w:r>
      <w:r w:rsidR="001566EC">
        <w:t xml:space="preserve"> (relevant here are primary PM2.5, SO</w:t>
      </w:r>
      <w:r w:rsidR="001566EC" w:rsidRPr="001566EC">
        <w:rPr>
          <w:vertAlign w:val="subscript"/>
        </w:rPr>
        <w:t>2</w:t>
      </w:r>
      <w:r w:rsidR="001566EC">
        <w:t>, NO</w:t>
      </w:r>
      <w:r w:rsidR="001566EC" w:rsidRPr="001566EC">
        <w:rPr>
          <w:vertAlign w:val="subscript"/>
        </w:rPr>
        <w:t>x</w:t>
      </w:r>
      <w:r w:rsidR="001566EC">
        <w:t>, NH</w:t>
      </w:r>
      <w:r w:rsidR="001566EC" w:rsidRPr="001566EC">
        <w:rPr>
          <w:vertAlign w:val="subscript"/>
        </w:rPr>
        <w:t>3</w:t>
      </w:r>
      <w:r w:rsidR="001566EC">
        <w:t xml:space="preserve"> and VOC)</w:t>
      </w:r>
      <w:r>
        <w:t>, as well as a reduced-form atmospheric transfer model, which can be used to calculate annual average PM2.5 concentrations at the grid level or as a population-weighted mean at the national scale. For Europe, t</w:t>
      </w:r>
      <w:r w:rsidR="002E1E31">
        <w:t>he atmospheric transfer matrices used for the concentration and exposure calculations were derived from the EMEP model. They have been used by GAINS and the EU Commission to design proposals for the National Emission Ceilings Directive in a series of assessments</w:t>
      </w:r>
      <w:r w:rsidR="007F7077">
        <w:t xml:space="preserve"> </w:t>
      </w:r>
      <w:r w:rsidR="007F7077">
        <w:fldChar w:fldCharType="begin"/>
      </w:r>
      <w:r w:rsidR="007F7077">
        <w:instrText xml:space="preserve"> ADDIN ZOTERO_ITEM CSL_CITATION {"citationID":"rtYknBNT","properties":{"unsorted":true,"formattedCitation":"(Amann et al., 2012b; Rafaj et al., 2012; Oenema et al., 2012; Borken-Kleefeld and Ntziachristos, 2012; Cofala and Klimont, 2012; Amann et al., 2012a, 2012d, 2012c; Kiesewetter et al., 2013; Amann et al., 2013, 2014a; Kiesewetter and Amann, 2014; Amann et al., 2014b, 2014c)","plainCitation":"(Amann et al., 2012b; Rafaj et al., 2012; Oenema et al., 2012; Borken-Kleefeld and Ntziachristos, 2012; Cofala and Klimont, 2012; Amann et al., 2012a, 2012d, 2012c; Kiesewetter et al., 2013; Amann et al., 2013, 2014a; Kiesewetter and Amann, 2014; Amann et al., 2014b, 2014c)","noteIndex":0},"citationItems":[{"id":10925,"uris":["http://zotero.org/groups/14748/items/ITUSPI3T"],"uri":["http://zotero.org/groups/14748/items/ITUSPI3T"],"itemData":{"id":10925,"type":"report","title":"Future emissions of air pollutants in Europe - Current legistation baseline and the scope for futher reductions. TSAP Report #1","publisher":"International Institute for Applied Systems Analysis","publisher-place":"Laxenburg","event-place":"Laxenburg","URL":"http://www.iiasa.ac.at/web/home/research/researchPrograms/air/policy/TSAP-BASELINE-20120613.pdf","number":"TSAP Report #1","author":[{"family":"Amann","given":"Markus"},{"family":"Borken-Kleefeld","given":"Jens"},{"family":"Cofala","given":"Janusz"},{"family":"Heyes","given":"Chris"},{"family":"Klimont","given":"Zbigniew"},{"family":"Rafaj","given":"Peter"},{"family":"Purohit","given":"Pallav"},{"family":"Schoepp","given":"Wolfgang"},{"family":"Winiwarter","given":"Wilfried"}],"issued":{"date-parts":[["2012",6]]},"accessed":{"date-parts":[["2012",12,13]]}},"label":"page"},{"id":10176,"uris":["http://zotero.org/groups/14748/items/3V9EADW7"],"uri":["http://zotero.org/groups/14748/items/3V9EADW7"],"itemData":{"id":10176,"type":"report","title":"Factors determining recent changes of emissions of air pollutants in Europe. TSAP Report #2","publisher":"International Institute for Applied Systems Analysis (IIASA)","publisher-place":"Laxenburg, Austria","event-place":"Laxenburg, Austria","URL":"http://gains.iiasa.ac.at/images/stories/reports/TSAP/TSAP-DISTANCE-20120612.pdf","number":"TSAP Report #2","author":[{"family":"Rafaj","given":"P."},{"family":"Amann","given":"M."},{"family":"Cofala","given":"J."},{"family":"Sander","given":"R."}],"issued":{"date-parts":[["2012"]]},"accessed":{"date-parts":[["2012",12,13]]}},"label":"page"},{"id":10089,"uris":["http://zotero.org/groups/14748/items/DQUQRA79"],"uri":["http://zotero.org/groups/14748/items/DQUQRA79"],"itemData":{"id":10089,"type":"report","title":"Emissions from agriculture and their control potentials. TSAP Report #3","publisher":"International Institute for Applied Systems Analysis","publisher-place":"Laxenburg, Austria","event-place":"Laxenburg, Austria","URL":"http://www.iiasa.ac.at/web/home/research/researchPrograms/MitigationofAirPollutionandGreenhousegases/TSAP-AGRI-20121129_v21.pdf","author":[{"family":"Oenema","given":"Oene"},{"family":"Velthof","given":"Gerard"},{"family":"Klimont","given":"Zbigniew"},{"family":"Winiwarter","given":"Wilfried"}],"issued":{"date-parts":[["2012"]]},"accessed":{"date-parts":[["2012",12,13]]}},"label":"page"},{"id":7381,"uris":["http://zotero.org/groups/14748/items/KKFWT8GZ"],"uri":["http://zotero.org/groups/14748/items/KKFWT8GZ"],"itemData":{"id":7381,"type":"report","title":"The potential for further controls of emissions from mobile sources in Europe. TSAP Report #4","publisher":"International Institute for Applied Systems Analysis (IIASA)","publisher-place":"Laxenburg, Austria","event-place":"Laxenburg, Austria","author":[{"family":"Borken-Kleefeld","given":"Jens"},{"family":"Ntziachristos","given":"Leonidas"}],"issued":{"date-parts":[["2012"]]}},"label":"page"},{"id":10169,"uris":["http://zotero.org/groups/14748/items/HFHB5JN2"],"uri":["http://zotero.org/groups/14748/items/HFHB5JN2"],"itemData":{"id":10169,"type":"report","title":"Emissions from households and other small combustion sources and their reduction potential. TSAP Report #5","publisher":"International Institute for Applied Systems Analysis","publisher-place":"Laxenburg, Austria","event-place":"Laxenburg, Austria","author":[{"family":"Cofala","given":"Janusz"},{"family":"Klimont","given":"Zbigniew"}],"issued":{"date-parts":[["2012"]]}},"label":"page"},{"id":8921,"uris":["http://zotero.org/groups/14748/items/27RVFSD8"],"uri":["http://zotero.org/groups/14748/items/27RVFSD8"],"itemData":{"id":8921,"type":"report","title":"TSAP-2012 Baseline: Health and Envronmental Impacts. TASP Report #6","publisher":"International Institute for Applied Systems Analysis","publisher-place":"Laxenburg, Austria","event-place":"Laxenburg, Austria","URL":"http://www.iiasa.ac.at/web/home/research/researchPrograms/MitigationofAirPollutionandGreenhousegases/TSAP-_IMPACTS-20121126.pdf","number":"TSAP Report #6","author":[{"family":"Amann","given":"Markus"},{"family":"Borken-Kleefeld","given":"Jens"},{"family":"Cofala","given":"Janusz"},{"family":"Heyes","given":"Chris"},{"family":"Kiesewetter","given":"Gregor"},{"family":"Klimont","given":"Zbigniew"},{"family":"Rafaj","given":"Peter"},{"family":"Sander","given":"Robert"},{"family":"Schoepp","given":"Wolfgang"},{"family":"Wagner","given":"Fabian"},{"family":"Winiwarter","given":"Wilfried"}],"issued":{"date-parts":[["2012",11]]},"accessed":{"date-parts":[["2012",12,13]]}},"label":"page"},{"id":7177,"uris":["http://zotero.org/groups/14748/items/22W98FQA"],"uri":["http://zotero.org/groups/14748/items/22W98FQA"],"itemData":{"id":7177,"type":"report","title":"Scenarios of Cost-effective Emission Controls after 2020. TSAP Report #7","publisher":"International Institute for Applied Systems Analysis","publisher-place":"Laxenburg","event-place":"Laxenburg","URL":"http://www.iiasa.ac.at/web/home/research/researchPrograms/MitigationofAirPollutionandGreenhousegases/TSAP-OPT-20121126.pdf","number":"TSAP Report #7","author":[{"family":"Amann","given":"Markus"},{"family":"Heyes","given":"Chris"},{"family":"Schoepp","given":"Wolfgang"},{"family":"Wagner","given":"Fabian"}],"issued":{"date-parts":[["2012",11]]},"accessed":{"date-parts":[["2012",12,13]]}},"label":"page"},{"id":8953,"uris":["http://zotero.org/groups/14748/items/H69S8H33"],"uri":["http://zotero.org/groups/14748/items/H69S8H33"],"itemData":{"id":8953,"type":"report","title":"Compliance with EU Air Quality Limit Values - A First Set of Sensitivity and Optimization Analyses. TSAP Report #8","publisher":"International Institute for Applied Systems Analysis","publisher-place":"Laxenburg","event-place":"Laxenburg","URL":"http://www.iiasa.ac.at/web/home/research/researchPrograms/MitigationofAirPollutionandGreenhousegases/TSAP-SENSITIVITY-20121128.pdf","number":"TSAP Report #8","author":[{"family":"Amann","given":"Markus"},{"family":"Borken-Kleefeld","given":"Jens"},{"family":"Kiesewetter","given":"Gregor"},{"family":"Rafaj","given":"Peter"},{"family":"Wagner","given":"Fabian"}],"issued":{"date-parts":[["2012",11]]},"accessed":{"date-parts":[["2012",12,13]]}},"label":"page"},{"id":9218,"uris":["http://zotero.org/groups/14748/items/WDUJ4CFR"],"uri":["http://zotero.org/groups/14748/items/WDUJ4CFR"],"itemData":{"id":9218,"type":"report","title":"Modelling compliance with NO2 and PM10 air quality limit values  in the GAINS model. TSAP Report #9","publisher":"International Institute for Applied Systems Analysis","publisher-place":"Laxenburg, Austria","event-place":"Laxenburg, Austria","number":"TSAP Report #9","author":[{"family":"Kiesewetter","given":"Gregor"},{"family":"Borken-Kleefeld","given":"Jens"},{"family":"Heyes","given":"Chris"},{"family":"Bertok","given":"Imrich"},{"family":"Schoepp","given":"W."},{"family":"Thunis","given":"Philippe"},{"family":"Bessagnet","given":"Bertrand"},{"family":"Terrenoire","given":"Etienne"},{"family":"Amann","given":"Markus"}],"issued":{"date-parts":[["2013"]]}},"label":"page"},{"id":10090,"uris":["http://zotero.org/groups/14748/items/KP2Q5FQD"],"uri":["http://zotero.org/groups/14748/items/KP2Q5FQD"],"itemData":{"id":10090,"type":"report","title":"Policy Scenarios for the Revision of the Thematic Strategy on Air Pollution. TSAP Report #10","publisher":"International Institute for Applied Systems Analysis","publisher-place":"Laxenburg, Austria.","event-place":"Laxenburg, Austria.","number":"TSAP Report # 10","author":[{"family":"Amann","given":"M."},{"family":"Bertok","given":"I."},{"family":"Borken","given":"J."},{"family":"Cofala","given":"J."},{"family":"Hettelingh","given":"J-P."},{"family":"Heyes","given":"Ch."},{"family":"Holland","given":"M."},{"family":"Kiesewetter","given":"Gregor"},{"family":"Klimont","given":"Z."},{"family":"Rafaj","given":"P."},{"family":"Paasonen","given":"P."},{"family":"Posch","given":"M."},{"family":"Sander","given":"R."},{"family":"Schoepp","given":"W."},{"family":"Wagner","given":"F."},{"family":"Winiwarter","given":"W."}],"issued":{"date-parts":[["2013",3]]}},"label":"page"},{"id":9456,"uris":["http://zotero.org/groups/14748/items/SRNIN9ST"],"uri":["http://zotero.org/groups/14748/items/SRNIN9ST"],"itemData":{"id":9456,"type":"report","title":"The Final Policy Scenarios of the EU Clean Air Policy Package. TSAP Report #11","publisher":"International Institute for Applied Systems Analysis","publisher-place":"Laxenburg, Austria.","event-place":"Laxenburg, Austria.","number":"TSAP Report #11","author":[{"family":"Amann","given":"Markus"},{"family":"Borken-Kleefeld","given":"Jens"},{"family":"Cofala","given":"Janusz"},{"family":"Hettelingh","given":"Jean-Paul"},{"family":"Heyes","given":"Chris"},{"family":"Hoglund-Isaksson","given":"L."},{"family":"Holland","given":"Mike"},{"family":"Kiesewetter","given":"Gregor"},{"family":"Klimont","given":"Zbigniew"},{"family":"Rafaj","given":"Peter"},{"family":"Posch","given":"Maximilian"},{"family":"Sander","given":"Robert"},{"family":"Schoepp","given":"Wolfgang"},{"family":"Wagner","given":"Fabian"},{"family":"Winiwarter","given":"Wilfried"}],"issued":{"date-parts":[["2014"]]}},"label":"page"},{"id":9605,"uris":["http://zotero.org/groups/14748/items/X66BAKAD"],"uri":["http://zotero.org/groups/14748/items/X66BAKAD"],"itemData":{"id":9605,"type":"report","title":"Urban PM2.5 levels under the EU Clean Air Policy Package. TSAP Report #12","publisher":"International Institute for Applied Systems Analysis","publisher-place":"Laxenburg","event-place":"Laxenburg","URL":"http://www.iiasa.ac.at/web/home/research/researchPrograms/MitigationofAirPollutionandGreenhousegases/TSAP-SENSITIVITY-20121128.pdf","number":"TSAP Report #12","author":[{"family":"Kiesewetter","given":"Gregor"},{"family":"Amann","given":"Markus"}],"issued":{"date-parts":[["2014",10]]},"accessed":{"date-parts":[["2012",12,13]]}},"label":"page"},{"id":9648,"uris":["http://zotero.org/groups/14748/items/7FUDE2UG"],"uri":["http://zotero.org/groups/14748/items/7FUDE2UG"],"itemData":{"id":9648,"type":"report","title":"Summary of the Bilateral Consultations with National Experts on the GAINS Input Data","publisher":"International Institute for Applied Systems Analysis (IIASA)","publisher-place":"Laxenburg, Austria.","event-place":"Laxenburg, Austria.","number":"TSAP Report #13, updated version","author":[{"family":"Amann","given":"Markus"},{"family":"Borken-Kleefeld","given":"Jens"},{"family":"Cofala","given":"Janusz"},{"family":"Hoeglund-Isaksson","given":"Lena"},{"family":"Klimont","given":"Zbigniew"},{"family":"Rafaj","given":"Peter"},{"family":"Winiwarter","given":"Wilfried"}],"issued":{"date-parts":[["2014"]]}},"label":"page"},{"id":9604,"uris":["http://zotero.org/groups/14748/items/WQBBISQC"],"uri":["http://zotero.org/groups/14748/items/WQBBISQC"],"itemData":{"id":9604,"type":"report","title":"Updates to the GAINS Model Databases after the Bilateral Consultations  with National Experts in 2014. TSAP Report #14","publisher":"International Institute for Applied Systems Analysis","publisher-place":"Laxenburg, Austria.","event-place":"Laxenburg, Austria.","number":"TSAP Report #14","author":[{"family":"Amann","given":"Markus"},{"family":"Borken-Kleefeld","given":"Jens"},{"family":"Cofala","given":"Janusz"},{"family":"Hoglund-Isaksson","given":"L."},{"family":"Kiesewetter","given":"Gregor"},{"family":"Klimont","given":"Zbigniew"},{"family":"Rafaj","given":"Peter"},{"family":"Schoepp","given":"Wolfgang"},{"family":"Winiwarter","given":"Wilfried"}],"issued":{"date-parts":[["2014"]]}},"label":"page"}],"schema":"https://github.com/citation-style-language/schema/raw/master/csl-citation.json"} </w:instrText>
      </w:r>
      <w:r w:rsidR="007F7077">
        <w:fldChar w:fldCharType="separate"/>
      </w:r>
      <w:r w:rsidR="007F7077" w:rsidRPr="007F7077">
        <w:rPr>
          <w:rFonts w:ascii="Calibri" w:hAnsi="Calibri" w:cs="Calibri"/>
        </w:rPr>
        <w:t>(Amann et al., 2012b; Rafaj et al., 2012; Oenema et al., 2012; Borken-Kleefeld and Ntziachristos, 2012; Cofala and Klimont, 2012; Amann et al., 2012a, 2012d, 2012c; Kiesewetter et al., 2013; Amann et al., 2013, 2014a; Kiesewetter and Amann, 2014; Amann et al., 2014b, 2014c)</w:t>
      </w:r>
      <w:r w:rsidR="007F7077">
        <w:fldChar w:fldCharType="end"/>
      </w:r>
      <w:r w:rsidR="002E1E31">
        <w:t xml:space="preserve"> , as well as for designing a potential flexibility mechanism under the directive </w:t>
      </w:r>
      <w:r w:rsidR="002E1E31">
        <w:fldChar w:fldCharType="begin"/>
      </w:r>
      <w:r w:rsidR="002E1E31">
        <w:instrText xml:space="preserve"> ADDIN ZOTERO_ITEM CSL_CITATION {"citationID":"cuPnAKku","properties":{"formattedCitation":"(Amann and Wagner, 2014)","plainCitation":"(Amann and Wagner, 2014)","noteIndex":0},"citationItems":[{"id":9607,"uris":["http://zotero.org/groups/14748/items/T4FPI6NZ"],"uri":["http://zotero.org/groups/14748/items/T4FPI6NZ"],"itemData":{"id":9607,"type":"report","title":"A Flexibility Mechanism for Complying with National Emission Ceilings for Air Pollutants. TSAP Reprt #15","publisher":"International Institute for Applied Systems Analysis","publisher-place":"Laxenburg, Austria.","event-place":"Laxenburg, Austria.","number":"TSAP Report #15","author":[{"family":"Amann","given":"Markus"},{"family":"Wagner","given":"Fabian"}],"issued":{"date-parts":[["2014"]]}}}],"schema":"https://github.com/citation-style-language/schema/raw/master/csl-citation.json"} </w:instrText>
      </w:r>
      <w:r w:rsidR="002E1E31">
        <w:fldChar w:fldCharType="separate"/>
      </w:r>
      <w:r w:rsidR="007F7077" w:rsidRPr="007F7077">
        <w:rPr>
          <w:rFonts w:ascii="Calibri" w:hAnsi="Calibri" w:cs="Calibri"/>
        </w:rPr>
        <w:t>(Amann and Wagner, 2014)</w:t>
      </w:r>
      <w:r w:rsidR="002E1E31">
        <w:fldChar w:fldCharType="end"/>
      </w:r>
      <w:r w:rsidR="002E1E31">
        <w:t>.</w:t>
      </w:r>
    </w:p>
    <w:p w14:paraId="24A5F1D5" w14:textId="614B0C2F" w:rsidR="009D1ED2" w:rsidRDefault="009D1ED2" w:rsidP="001566EC">
      <w:pPr>
        <w:jc w:val="both"/>
      </w:pPr>
    </w:p>
    <w:p w14:paraId="171F5107" w14:textId="4E47EAA8" w:rsidR="002E1E31" w:rsidRDefault="002E1E31" w:rsidP="001566EC">
      <w:pPr>
        <w:pStyle w:val="Heading1"/>
        <w:jc w:val="both"/>
      </w:pPr>
      <w:r>
        <w:t>Data and caveats</w:t>
      </w:r>
    </w:p>
    <w:p w14:paraId="38020892" w14:textId="606E6FB3" w:rsidR="002E1E31" w:rsidRDefault="001566EC" w:rsidP="001566EC">
      <w:pPr>
        <w:jc w:val="both"/>
      </w:pPr>
      <w:r>
        <w:t xml:space="preserve">The data are based on GAINS, and in particular, on a scenario that reflects both the World Energy Outlook 2018 Energy scenario of the International Energy Agency (IEA), as well as the energy structure </w:t>
      </w:r>
      <w:r w:rsidR="00BC51DB">
        <w:t xml:space="preserve">of the PRIMES model </w:t>
      </w:r>
      <w:r>
        <w:t xml:space="preserve">and air pollution </w:t>
      </w:r>
      <w:r w:rsidR="00BC51DB">
        <w:t xml:space="preserve">controls at the country level </w:t>
      </w:r>
      <w:bookmarkStart w:id="0" w:name="_GoBack"/>
      <w:bookmarkEnd w:id="0"/>
      <w:r>
        <w:t>(</w:t>
      </w:r>
      <w:r w:rsidRPr="001566EC">
        <w:t>WEO2018_NPS_CLE_UPD</w:t>
      </w:r>
      <w:r>
        <w:t xml:space="preserve">). Data are available for EU28 and Switzerland, and the years 2005 until 2050 in 5-year steps. </w:t>
      </w:r>
      <w:r w:rsidR="00331AF7">
        <w:t>The present data set contains four subsets of data:</w:t>
      </w:r>
    </w:p>
    <w:p w14:paraId="0BF748C4" w14:textId="4BD8D04D" w:rsidR="00331AF7" w:rsidRDefault="00331AF7" w:rsidP="001566EC">
      <w:pPr>
        <w:pStyle w:val="ListParagraph"/>
        <w:numPr>
          <w:ilvl w:val="0"/>
          <w:numId w:val="1"/>
        </w:numPr>
        <w:jc w:val="both"/>
      </w:pPr>
      <w:r>
        <w:t>Energy-related exposure per person per PJ. In these units this corresponds to a concentration in mu g/m^3 in a receptor country per PJ combusted in a source country. Source and receptor countries are given as ISO codes. The sectoral structure (agriculture, power, industry, transport, buildings), subsector and technology structure is the EUC structure; the GAINS structure was mapped onto the EUC structure. The data are time-dependent, reflecting the change in the air pollution legislation over time and its impact on emission factors (and penetration of emission control technologies).</w:t>
      </w:r>
    </w:p>
    <w:p w14:paraId="57BBF802" w14:textId="4B0437B6" w:rsidR="00331AF7" w:rsidRDefault="00331AF7" w:rsidP="001566EC">
      <w:pPr>
        <w:pStyle w:val="ListParagraph"/>
        <w:numPr>
          <w:ilvl w:val="0"/>
          <w:numId w:val="1"/>
        </w:numPr>
        <w:jc w:val="both"/>
      </w:pPr>
      <w:r>
        <w:t xml:space="preserve">Process-related exposure per person per unit of product. </w:t>
      </w:r>
      <w:r w:rsidR="009F71E8">
        <w:t xml:space="preserve">In some industrial production processes PM2.5 and its precursors are not only related to the energy combustion used for the process, but to the process itself. This is reflected in this factor. The total contribution from producing a product is thus the sum of the energy-related part and the process-related part. </w:t>
      </w:r>
      <w:r>
        <w:t xml:space="preserve">The unit of product is typically Mt of product, except for livestock (where the unit is livestock-unit LSU), and fertilizer application. </w:t>
      </w:r>
      <w:r w:rsidR="009F71E8">
        <w:t xml:space="preserve">[exception: for non-metallic minerals (cement, </w:t>
      </w:r>
      <w:r w:rsidR="009F71E8">
        <w:lastRenderedPageBreak/>
        <w:t xml:space="preserve">lime, and glass), all emissions are absorbed into the process-related emissions, and thus intensities are only given per unit of product.] </w:t>
      </w:r>
    </w:p>
    <w:p w14:paraId="49CE8389" w14:textId="5FE5FD08" w:rsidR="009F71E8" w:rsidRDefault="009F71E8" w:rsidP="001566EC">
      <w:pPr>
        <w:pStyle w:val="ListParagraph"/>
        <w:numPr>
          <w:ilvl w:val="0"/>
          <w:numId w:val="1"/>
        </w:numPr>
        <w:jc w:val="both"/>
      </w:pPr>
      <w:r>
        <w:t xml:space="preserve">A specific set for transport related emission factors is supplied for brake and tyreware. </w:t>
      </w:r>
    </w:p>
    <w:p w14:paraId="15290FC0" w14:textId="7BDA1F73" w:rsidR="009F71E8" w:rsidRDefault="009F71E8" w:rsidP="001566EC">
      <w:pPr>
        <w:pStyle w:val="ListParagraph"/>
        <w:numPr>
          <w:ilvl w:val="0"/>
          <w:numId w:val="1"/>
        </w:numPr>
        <w:jc w:val="both"/>
      </w:pPr>
      <w:r>
        <w:t>Finally, a</w:t>
      </w:r>
      <w:r w:rsidR="001566EC">
        <w:t>n</w:t>
      </w:r>
      <w:r>
        <w:t xml:space="preserve"> exposure- or concentration related transfer factor is presented that can be used more generically on emissions of pollutants (i.e. not per unit of activity). In this context it is important to note that the coefficients are still sector-specific, since low-level sources enter the calculation differently from high-level sources. Again, the methodology that was applied here has been described in the TSAP reports.</w:t>
      </w:r>
    </w:p>
    <w:p w14:paraId="336914AD" w14:textId="77777777" w:rsidR="002E1E31" w:rsidRDefault="002E1E31"/>
    <w:p w14:paraId="7B1C4613" w14:textId="77777777" w:rsidR="009D1ED2" w:rsidRDefault="009D1ED2"/>
    <w:p w14:paraId="72992E94" w14:textId="09EDB1E4" w:rsidR="009D1ED2" w:rsidRDefault="009D1ED2" w:rsidP="002E1E31">
      <w:pPr>
        <w:pStyle w:val="Heading1"/>
      </w:pPr>
      <w:r>
        <w:t>References</w:t>
      </w:r>
    </w:p>
    <w:p w14:paraId="60C9DD57" w14:textId="77777777" w:rsidR="007F7077" w:rsidRPr="007F7077" w:rsidRDefault="002E1E31" w:rsidP="007F7077">
      <w:pPr>
        <w:pStyle w:val="Bibliography"/>
        <w:rPr>
          <w:rFonts w:ascii="Calibri" w:hAnsi="Calibri" w:cs="Calibri"/>
        </w:rPr>
      </w:pPr>
      <w:r>
        <w:fldChar w:fldCharType="begin"/>
      </w:r>
      <w:r w:rsidR="007F7077" w:rsidRPr="007F7077">
        <w:rPr>
          <w:lang w:val="de-AT"/>
        </w:rPr>
        <w:instrText xml:space="preserve"> ADDIN ZOTERO_BIBL {"uncited":[],"omitted":[],"custom":[]} CSL_BIBLIOGRAPHY </w:instrText>
      </w:r>
      <w:r>
        <w:fldChar w:fldCharType="separate"/>
      </w:r>
      <w:r w:rsidR="007F7077" w:rsidRPr="007F7077">
        <w:rPr>
          <w:rFonts w:ascii="Calibri" w:hAnsi="Calibri" w:cs="Calibri"/>
          <w:lang w:val="de-AT"/>
        </w:rPr>
        <w:t xml:space="preserve">Amann, M., Bertok, I., Borken, J., Cofala, J., Hettelingh, J.-P., Heyes, Ch., Holland, M., Kiesewetter, G., Klimont, Z., Rafaj, P., Paasonen, P., Posch, M., Sander, R., Schoepp, W., Wagner, F., Winiwarter, W., 2013. </w:t>
      </w:r>
      <w:r w:rsidR="007F7077" w:rsidRPr="007F7077">
        <w:rPr>
          <w:rFonts w:ascii="Calibri" w:hAnsi="Calibri" w:cs="Calibri"/>
        </w:rPr>
        <w:t>Policy Scenarios for the Revision of the Thematic Strategy on Air Pollution. TSAP Report #10 (No. TSAP Report # 10). International Institute for Applied Systems Analysis, Laxenburg, Austria.</w:t>
      </w:r>
    </w:p>
    <w:p w14:paraId="3B3D4938" w14:textId="77777777" w:rsidR="007F7077" w:rsidRPr="007F7077" w:rsidRDefault="007F7077" w:rsidP="007F7077">
      <w:pPr>
        <w:pStyle w:val="Bibliography"/>
        <w:rPr>
          <w:rFonts w:ascii="Calibri" w:hAnsi="Calibri" w:cs="Calibri"/>
        </w:rPr>
      </w:pPr>
      <w:r w:rsidRPr="007F7077">
        <w:rPr>
          <w:rFonts w:ascii="Calibri" w:hAnsi="Calibri" w:cs="Calibri"/>
        </w:rPr>
        <w:t>Amann, M., Bertok, I., Borken-Kleefeld, J., Cofala, J., Heyes, C., Höglund-Isaksson, L., Klimont, Z., Nguyen, B., Posch, M., Rafaj, P., Sandler, R., Schöpp, W., Wagner, F., Winiwarter, W., 2011. Cost-effective control of air quality and greenhouse gases in Europe: Modeling and policy applications. Environ. Model. Softw. 26, 1489–1501. https://doi.org/10.1016/j.envsoft.2011.07.012</w:t>
      </w:r>
    </w:p>
    <w:p w14:paraId="392EB16D" w14:textId="77777777" w:rsidR="007F7077" w:rsidRPr="007F7077" w:rsidRDefault="007F7077" w:rsidP="007F7077">
      <w:pPr>
        <w:pStyle w:val="Bibliography"/>
        <w:rPr>
          <w:rFonts w:ascii="Calibri" w:hAnsi="Calibri" w:cs="Calibri"/>
        </w:rPr>
      </w:pPr>
      <w:r w:rsidRPr="007F7077">
        <w:rPr>
          <w:rFonts w:ascii="Calibri" w:hAnsi="Calibri" w:cs="Calibri"/>
        </w:rPr>
        <w:t>Amann, M., Borken-Kleefeld, J., Cofala, J., Hettelingh, J.-P., Heyes, C., Hoglund-Isaksson, L., Holland, M., Kiesewetter, G., Klimont, Z., Rafaj, P., Posch, M., Sander, R., Schoepp, W., Wagner, F., Winiwarter, W., 2014a. The Final Policy Scenarios of the EU Clean Air Policy Package. TSAP Report #11 (No. TSAP Report #11). International Institute for Applied Systems Analysis, Laxenburg, Austria.</w:t>
      </w:r>
    </w:p>
    <w:p w14:paraId="4F597265" w14:textId="77777777" w:rsidR="007F7077" w:rsidRPr="007F7077" w:rsidRDefault="007F7077" w:rsidP="007F7077">
      <w:pPr>
        <w:pStyle w:val="Bibliography"/>
        <w:rPr>
          <w:rFonts w:ascii="Calibri" w:hAnsi="Calibri" w:cs="Calibri"/>
        </w:rPr>
      </w:pPr>
      <w:r w:rsidRPr="007F7077">
        <w:rPr>
          <w:rFonts w:ascii="Calibri" w:hAnsi="Calibri" w:cs="Calibri"/>
          <w:lang w:val="de-AT"/>
        </w:rPr>
        <w:t xml:space="preserve">Amann, M., Borken-Kleefeld, J., Cofala, J., Heyes, C., Kiesewetter, G., Klimont, Z., Rafaj, P., Sander, R., Schoepp, W., Wagner, F., Winiwarter, W., 2012a. </w:t>
      </w:r>
      <w:r w:rsidRPr="007F7077">
        <w:rPr>
          <w:rFonts w:ascii="Calibri" w:hAnsi="Calibri" w:cs="Calibri"/>
        </w:rPr>
        <w:t>TSAP-2012 Baseline: Health and Envronmental Impacts. TASP Report #6 (No. TSAP Report #6). International Institute for Applied Systems Analysis, Laxenburg, Austria.</w:t>
      </w:r>
    </w:p>
    <w:p w14:paraId="358677B1" w14:textId="77777777" w:rsidR="007F7077" w:rsidRPr="007F7077" w:rsidRDefault="007F7077" w:rsidP="007F7077">
      <w:pPr>
        <w:pStyle w:val="Bibliography"/>
        <w:rPr>
          <w:rFonts w:ascii="Calibri" w:hAnsi="Calibri" w:cs="Calibri"/>
        </w:rPr>
      </w:pPr>
      <w:r w:rsidRPr="007F7077">
        <w:rPr>
          <w:rFonts w:ascii="Calibri" w:hAnsi="Calibri" w:cs="Calibri"/>
        </w:rPr>
        <w:t>Amann, M., Borken-Kleefeld, J., Cofala, J., Heyes, C., Klimont, Z., Rafaj, P., Purohit, P., Schoepp, W., Winiwarter, W., 2012b. Future emissions of air pollutants in Europe - Current legistation baseline and the scope for futher reductions. TSAP Report #1 (No. TSAP Report #1). International Institute for Applied Systems Analysis, Laxenburg.</w:t>
      </w:r>
    </w:p>
    <w:p w14:paraId="02AA8377" w14:textId="77777777" w:rsidR="007F7077" w:rsidRPr="007F7077" w:rsidRDefault="007F7077" w:rsidP="007F7077">
      <w:pPr>
        <w:pStyle w:val="Bibliography"/>
        <w:rPr>
          <w:rFonts w:ascii="Calibri" w:hAnsi="Calibri" w:cs="Calibri"/>
        </w:rPr>
      </w:pPr>
      <w:r w:rsidRPr="007F7077">
        <w:rPr>
          <w:rFonts w:ascii="Calibri" w:hAnsi="Calibri" w:cs="Calibri"/>
          <w:lang w:val="de-AT"/>
        </w:rPr>
        <w:t xml:space="preserve">Amann, M., Borken-Kleefeld, J., Cofala, J., Hoeglund-Isaksson, L., Klimont, Z., Rafaj, P., Winiwarter, W., 2014b. </w:t>
      </w:r>
      <w:r w:rsidRPr="007F7077">
        <w:rPr>
          <w:rFonts w:ascii="Calibri" w:hAnsi="Calibri" w:cs="Calibri"/>
        </w:rPr>
        <w:t>Summary of the Bilateral Consultations with National Experts on the GAINS Input Data (No. TSAP Report #13, updated version). International Institute for Applied Systems Analysis (IIASA), Laxenburg, Austria.</w:t>
      </w:r>
    </w:p>
    <w:p w14:paraId="62822E9D" w14:textId="77777777" w:rsidR="007F7077" w:rsidRPr="007F7077" w:rsidRDefault="007F7077" w:rsidP="007F7077">
      <w:pPr>
        <w:pStyle w:val="Bibliography"/>
        <w:rPr>
          <w:rFonts w:ascii="Calibri" w:hAnsi="Calibri" w:cs="Calibri"/>
        </w:rPr>
      </w:pPr>
      <w:r w:rsidRPr="007F7077">
        <w:rPr>
          <w:rFonts w:ascii="Calibri" w:hAnsi="Calibri" w:cs="Calibri"/>
          <w:lang w:val="de-AT"/>
        </w:rPr>
        <w:t xml:space="preserve">Amann, M., Borken-Kleefeld, J., Cofala, J., Hoglund-Isaksson, L., Kiesewetter, G., Klimont, Z., Rafaj, P., Schoepp, W., Winiwarter, W., 2014c. </w:t>
      </w:r>
      <w:r w:rsidRPr="007F7077">
        <w:rPr>
          <w:rFonts w:ascii="Calibri" w:hAnsi="Calibri" w:cs="Calibri"/>
        </w:rPr>
        <w:t>Updates to the GAINS Model Databases after the Bilateral Consultations  with National Experts in 2014. TSAP Report #14 (No. TSAP Report #14). International Institute for Applied Systems Analysis, Laxenburg, Austria.</w:t>
      </w:r>
    </w:p>
    <w:p w14:paraId="37433AB1" w14:textId="77777777" w:rsidR="007F7077" w:rsidRPr="007F7077" w:rsidRDefault="007F7077" w:rsidP="007F7077">
      <w:pPr>
        <w:pStyle w:val="Bibliography"/>
        <w:rPr>
          <w:rFonts w:ascii="Calibri" w:hAnsi="Calibri" w:cs="Calibri"/>
        </w:rPr>
      </w:pPr>
      <w:r w:rsidRPr="007F7077">
        <w:rPr>
          <w:rFonts w:ascii="Calibri" w:hAnsi="Calibri" w:cs="Calibri"/>
          <w:lang w:val="de-AT"/>
        </w:rPr>
        <w:t xml:space="preserve">Amann, M., Borken-Kleefeld, J., Kiesewetter, G., Rafaj, P., Wagner, F., 2012c. </w:t>
      </w:r>
      <w:r w:rsidRPr="007F7077">
        <w:rPr>
          <w:rFonts w:ascii="Calibri" w:hAnsi="Calibri" w:cs="Calibri"/>
        </w:rPr>
        <w:t>Compliance with EU Air Quality Limit Values - A First Set of Sensitivity and Optimization Analyses. TSAP Report #8 (No. TSAP Report #8). International Institute for Applied Systems Analysis, Laxenburg.</w:t>
      </w:r>
    </w:p>
    <w:p w14:paraId="292F7A3C" w14:textId="77777777" w:rsidR="007F7077" w:rsidRPr="007F7077" w:rsidRDefault="007F7077" w:rsidP="007F7077">
      <w:pPr>
        <w:pStyle w:val="Bibliography"/>
        <w:rPr>
          <w:rFonts w:ascii="Calibri" w:hAnsi="Calibri" w:cs="Calibri"/>
        </w:rPr>
      </w:pPr>
      <w:r w:rsidRPr="007F7077">
        <w:rPr>
          <w:rFonts w:ascii="Calibri" w:hAnsi="Calibri" w:cs="Calibri"/>
        </w:rPr>
        <w:t>Amann, M., Heyes, C., Schoepp, W., Wagner, F., 2012d. Scenarios of Cost-effective Emission Controls after 2020. TSAP Report #7 (No. TSAP Report #7). International Institute for Applied Systems Analysis, Laxenburg.</w:t>
      </w:r>
    </w:p>
    <w:p w14:paraId="1D7112C9" w14:textId="77777777" w:rsidR="007F7077" w:rsidRPr="007F7077" w:rsidRDefault="007F7077" w:rsidP="007F7077">
      <w:pPr>
        <w:pStyle w:val="Bibliography"/>
        <w:rPr>
          <w:rFonts w:ascii="Calibri" w:hAnsi="Calibri" w:cs="Calibri"/>
        </w:rPr>
      </w:pPr>
      <w:r w:rsidRPr="007F7077">
        <w:rPr>
          <w:rFonts w:ascii="Calibri" w:hAnsi="Calibri" w:cs="Calibri"/>
        </w:rPr>
        <w:lastRenderedPageBreak/>
        <w:t>Amann, M., Wagner, F., 2014. A Flexibility Mechanism for Complying with National Emission Ceilings for Air Pollutants. TSAP Reprt #15 (No. TSAP Report #15). International Institute for Applied Systems Analysis, Laxenburg, Austria.</w:t>
      </w:r>
    </w:p>
    <w:p w14:paraId="15EA6B55" w14:textId="77777777" w:rsidR="007F7077" w:rsidRPr="007F7077" w:rsidRDefault="007F7077" w:rsidP="007F7077">
      <w:pPr>
        <w:pStyle w:val="Bibliography"/>
        <w:rPr>
          <w:rFonts w:ascii="Calibri" w:hAnsi="Calibri" w:cs="Calibri"/>
        </w:rPr>
      </w:pPr>
      <w:r w:rsidRPr="007F7077">
        <w:rPr>
          <w:rFonts w:ascii="Calibri" w:hAnsi="Calibri" w:cs="Calibri"/>
          <w:lang w:val="de-AT"/>
        </w:rPr>
        <w:t xml:space="preserve">Borken-Kleefeld, J., Ntziachristos, L., 2012. </w:t>
      </w:r>
      <w:r w:rsidRPr="007F7077">
        <w:rPr>
          <w:rFonts w:ascii="Calibri" w:hAnsi="Calibri" w:cs="Calibri"/>
        </w:rPr>
        <w:t>The potential for further controls of emissions from mobile sources in Europe. TSAP Report #4. International Institute for Applied Systems Analysis (IIASA), Laxenburg, Austria.</w:t>
      </w:r>
    </w:p>
    <w:p w14:paraId="5D246C33" w14:textId="77777777" w:rsidR="007F7077" w:rsidRPr="007F7077" w:rsidRDefault="007F7077" w:rsidP="007F7077">
      <w:pPr>
        <w:pStyle w:val="Bibliography"/>
        <w:rPr>
          <w:rFonts w:ascii="Calibri" w:hAnsi="Calibri" w:cs="Calibri"/>
        </w:rPr>
      </w:pPr>
      <w:r w:rsidRPr="007F7077">
        <w:rPr>
          <w:rFonts w:ascii="Calibri" w:hAnsi="Calibri" w:cs="Calibri"/>
        </w:rPr>
        <w:t>Cofala, J., Klimont, Z., 2012. Emissions from households and other small combustion sources and their reduction potential. TSAP Report #5. International Institute for Applied Systems Analysis, Laxenburg, Austria.</w:t>
      </w:r>
    </w:p>
    <w:p w14:paraId="5957D5F0" w14:textId="77777777" w:rsidR="007F7077" w:rsidRPr="007F7077" w:rsidRDefault="007F7077" w:rsidP="007F7077">
      <w:pPr>
        <w:pStyle w:val="Bibliography"/>
        <w:rPr>
          <w:rFonts w:ascii="Calibri" w:hAnsi="Calibri" w:cs="Calibri"/>
        </w:rPr>
      </w:pPr>
      <w:r w:rsidRPr="007F7077">
        <w:rPr>
          <w:rFonts w:ascii="Calibri" w:hAnsi="Calibri" w:cs="Calibri"/>
        </w:rPr>
        <w:t>Kiesewetter, G., Amann, M., 2014. Urban PM2.5 levels under the EU Clean Air Policy Package. TSAP Report #12 (No. TSAP Report #12). International Institute for Applied Systems Analysis, Laxenburg.</w:t>
      </w:r>
    </w:p>
    <w:p w14:paraId="19B74A3B" w14:textId="77777777" w:rsidR="007F7077" w:rsidRPr="007F7077" w:rsidRDefault="007F7077" w:rsidP="007F7077">
      <w:pPr>
        <w:pStyle w:val="Bibliography"/>
        <w:rPr>
          <w:rFonts w:ascii="Calibri" w:hAnsi="Calibri" w:cs="Calibri"/>
        </w:rPr>
      </w:pPr>
      <w:r w:rsidRPr="007F7077">
        <w:rPr>
          <w:rFonts w:ascii="Calibri" w:hAnsi="Calibri" w:cs="Calibri"/>
        </w:rPr>
        <w:t>Kiesewetter, G., Borken-Kleefeld, J., Heyes, C., Bertok, I., Schoepp, W., Thunis, P., Bessagnet, B., Terrenoire, E., Amann, M., 2013. Modelling compliance with NO2 and PM10 air quality limit values  in the GAINS model. TSAP Report #9 (No. TSAP Report #9). International Institute for Applied Systems Analysis, Laxenburg, Austria.</w:t>
      </w:r>
    </w:p>
    <w:p w14:paraId="27A77E72" w14:textId="77777777" w:rsidR="007F7077" w:rsidRPr="007F7077" w:rsidRDefault="007F7077" w:rsidP="007F7077">
      <w:pPr>
        <w:pStyle w:val="Bibliography"/>
        <w:rPr>
          <w:rFonts w:ascii="Calibri" w:hAnsi="Calibri" w:cs="Calibri"/>
        </w:rPr>
      </w:pPr>
      <w:r w:rsidRPr="007F7077">
        <w:rPr>
          <w:rFonts w:ascii="Calibri" w:hAnsi="Calibri" w:cs="Calibri"/>
          <w:lang w:val="de-AT"/>
        </w:rPr>
        <w:t xml:space="preserve">Oenema, O., Velthof, G., Klimont, Z., Winiwarter, W., 2012. </w:t>
      </w:r>
      <w:r w:rsidRPr="007F7077">
        <w:rPr>
          <w:rFonts w:ascii="Calibri" w:hAnsi="Calibri" w:cs="Calibri"/>
        </w:rPr>
        <w:t>Emissions from agriculture and their control potentials. TSAP Report #3. International Institute for Applied Systems Analysis, Laxenburg, Austria.</w:t>
      </w:r>
    </w:p>
    <w:p w14:paraId="5FAA9A0D" w14:textId="77777777" w:rsidR="007F7077" w:rsidRPr="007F7077" w:rsidRDefault="007F7077" w:rsidP="007F7077">
      <w:pPr>
        <w:pStyle w:val="Bibliography"/>
        <w:rPr>
          <w:rFonts w:ascii="Calibri" w:hAnsi="Calibri" w:cs="Calibri"/>
        </w:rPr>
      </w:pPr>
      <w:r w:rsidRPr="007F7077">
        <w:rPr>
          <w:rFonts w:ascii="Calibri" w:hAnsi="Calibri" w:cs="Calibri"/>
          <w:lang w:val="de-AT"/>
        </w:rPr>
        <w:t xml:space="preserve">Rafaj, P., Amann, M., Cofala, J., Sander, R., 2012. </w:t>
      </w:r>
      <w:r w:rsidRPr="007F7077">
        <w:rPr>
          <w:rFonts w:ascii="Calibri" w:hAnsi="Calibri" w:cs="Calibri"/>
        </w:rPr>
        <w:t>Factors determining recent changes of emissions of air pollutants in Europe. TSAP Report #2 (No. TSAP Report #2). International Institute for Applied Systems Analysis (IIASA), Laxenburg, Austria.</w:t>
      </w:r>
    </w:p>
    <w:p w14:paraId="7ECE1B91" w14:textId="2EE4DF3B" w:rsidR="009D1ED2" w:rsidRPr="009D1ED2" w:rsidRDefault="002E1E31">
      <w:r>
        <w:fldChar w:fldCharType="end"/>
      </w:r>
    </w:p>
    <w:sectPr w:rsidR="009D1ED2" w:rsidRPr="009D1ED2" w:rsidSect="008C0645">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3C871" w14:textId="77777777" w:rsidR="00666D8D" w:rsidRDefault="00666D8D" w:rsidP="001566EC">
      <w:r>
        <w:separator/>
      </w:r>
    </w:p>
  </w:endnote>
  <w:endnote w:type="continuationSeparator" w:id="0">
    <w:p w14:paraId="6E143442" w14:textId="77777777" w:rsidR="00666D8D" w:rsidRDefault="00666D8D" w:rsidP="0015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739559"/>
      <w:docPartObj>
        <w:docPartGallery w:val="Page Numbers (Bottom of Page)"/>
        <w:docPartUnique/>
      </w:docPartObj>
    </w:sdtPr>
    <w:sdtEndPr>
      <w:rPr>
        <w:noProof/>
      </w:rPr>
    </w:sdtEndPr>
    <w:sdtContent>
      <w:p w14:paraId="32743079" w14:textId="42CE48FD" w:rsidR="001566EC" w:rsidRDefault="001566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B7AE28" w14:textId="77777777" w:rsidR="001566EC" w:rsidRDefault="00156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4BAB1" w14:textId="77777777" w:rsidR="00666D8D" w:rsidRDefault="00666D8D" w:rsidP="001566EC">
      <w:r>
        <w:separator/>
      </w:r>
    </w:p>
  </w:footnote>
  <w:footnote w:type="continuationSeparator" w:id="0">
    <w:p w14:paraId="59585269" w14:textId="77777777" w:rsidR="00666D8D" w:rsidRDefault="00666D8D" w:rsidP="001566EC">
      <w:r>
        <w:continuationSeparator/>
      </w:r>
    </w:p>
  </w:footnote>
  <w:footnote w:id="1">
    <w:p w14:paraId="1CE51710" w14:textId="6FC594C0" w:rsidR="001566EC" w:rsidRDefault="001566EC">
      <w:pPr>
        <w:pStyle w:val="FootnoteText"/>
      </w:pPr>
      <w:r>
        <w:rPr>
          <w:rStyle w:val="FootnoteReference"/>
        </w:rPr>
        <w:footnoteRef/>
      </w:r>
      <w:r>
        <w:t xml:space="preserve"> Email: fabian@iiasa.ac.at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E665B"/>
    <w:multiLevelType w:val="hybridMultilevel"/>
    <w:tmpl w:val="0550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D2"/>
    <w:rsid w:val="001566EC"/>
    <w:rsid w:val="002E1E31"/>
    <w:rsid w:val="00331AF7"/>
    <w:rsid w:val="005D272C"/>
    <w:rsid w:val="00666D8D"/>
    <w:rsid w:val="007F7077"/>
    <w:rsid w:val="008C0645"/>
    <w:rsid w:val="009D1ED2"/>
    <w:rsid w:val="009F71E8"/>
    <w:rsid w:val="00BC5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D177"/>
  <w15:chartTrackingRefBased/>
  <w15:docId w15:val="{7B00BD10-C8D4-42B0-97D2-EE43E885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ED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ED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D1E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ED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D1ED2"/>
    <w:rPr>
      <w:rFonts w:eastAsiaTheme="minorEastAsia"/>
      <w:color w:val="5A5A5A" w:themeColor="text1" w:themeTint="A5"/>
      <w:spacing w:val="15"/>
    </w:rPr>
  </w:style>
  <w:style w:type="character" w:styleId="SubtleEmphasis">
    <w:name w:val="Subtle Emphasis"/>
    <w:basedOn w:val="DefaultParagraphFont"/>
    <w:uiPriority w:val="19"/>
    <w:qFormat/>
    <w:rsid w:val="009D1ED2"/>
    <w:rPr>
      <w:i/>
      <w:iCs/>
      <w:color w:val="404040" w:themeColor="text1" w:themeTint="BF"/>
    </w:rPr>
  </w:style>
  <w:style w:type="paragraph" w:styleId="Bibliography">
    <w:name w:val="Bibliography"/>
    <w:basedOn w:val="Normal"/>
    <w:next w:val="Normal"/>
    <w:uiPriority w:val="37"/>
    <w:unhideWhenUsed/>
    <w:rsid w:val="002E1E31"/>
    <w:pPr>
      <w:ind w:left="720" w:hanging="720"/>
    </w:pPr>
  </w:style>
  <w:style w:type="paragraph" w:styleId="ListParagraph">
    <w:name w:val="List Paragraph"/>
    <w:basedOn w:val="Normal"/>
    <w:uiPriority w:val="34"/>
    <w:qFormat/>
    <w:rsid w:val="00331AF7"/>
    <w:pPr>
      <w:ind w:left="720"/>
      <w:contextualSpacing/>
    </w:pPr>
  </w:style>
  <w:style w:type="paragraph" w:styleId="FootnoteText">
    <w:name w:val="footnote text"/>
    <w:basedOn w:val="Normal"/>
    <w:link w:val="FootnoteTextChar"/>
    <w:uiPriority w:val="99"/>
    <w:semiHidden/>
    <w:unhideWhenUsed/>
    <w:rsid w:val="001566EC"/>
    <w:rPr>
      <w:sz w:val="20"/>
      <w:szCs w:val="20"/>
    </w:rPr>
  </w:style>
  <w:style w:type="character" w:customStyle="1" w:styleId="FootnoteTextChar">
    <w:name w:val="Footnote Text Char"/>
    <w:basedOn w:val="DefaultParagraphFont"/>
    <w:link w:val="FootnoteText"/>
    <w:uiPriority w:val="99"/>
    <w:semiHidden/>
    <w:rsid w:val="001566EC"/>
    <w:rPr>
      <w:sz w:val="20"/>
      <w:szCs w:val="20"/>
    </w:rPr>
  </w:style>
  <w:style w:type="character" w:styleId="FootnoteReference">
    <w:name w:val="footnote reference"/>
    <w:basedOn w:val="DefaultParagraphFont"/>
    <w:uiPriority w:val="99"/>
    <w:semiHidden/>
    <w:unhideWhenUsed/>
    <w:rsid w:val="001566EC"/>
    <w:rPr>
      <w:vertAlign w:val="superscript"/>
    </w:rPr>
  </w:style>
  <w:style w:type="paragraph" w:styleId="Header">
    <w:name w:val="header"/>
    <w:basedOn w:val="Normal"/>
    <w:link w:val="HeaderChar"/>
    <w:uiPriority w:val="99"/>
    <w:unhideWhenUsed/>
    <w:rsid w:val="001566EC"/>
    <w:pPr>
      <w:tabs>
        <w:tab w:val="center" w:pos="4680"/>
        <w:tab w:val="right" w:pos="9360"/>
      </w:tabs>
    </w:pPr>
  </w:style>
  <w:style w:type="character" w:customStyle="1" w:styleId="HeaderChar">
    <w:name w:val="Header Char"/>
    <w:basedOn w:val="DefaultParagraphFont"/>
    <w:link w:val="Header"/>
    <w:uiPriority w:val="99"/>
    <w:rsid w:val="001566EC"/>
  </w:style>
  <w:style w:type="paragraph" w:styleId="Footer">
    <w:name w:val="footer"/>
    <w:basedOn w:val="Normal"/>
    <w:link w:val="FooterChar"/>
    <w:uiPriority w:val="99"/>
    <w:unhideWhenUsed/>
    <w:rsid w:val="001566EC"/>
    <w:pPr>
      <w:tabs>
        <w:tab w:val="center" w:pos="4680"/>
        <w:tab w:val="right" w:pos="9360"/>
      </w:tabs>
    </w:pPr>
  </w:style>
  <w:style w:type="character" w:customStyle="1" w:styleId="FooterChar">
    <w:name w:val="Footer Char"/>
    <w:basedOn w:val="DefaultParagraphFont"/>
    <w:link w:val="Footer"/>
    <w:uiPriority w:val="99"/>
    <w:rsid w:val="00156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2EA1D-42A7-4437-9F56-29FF2A43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Fabian</dc:creator>
  <cp:keywords/>
  <dc:description/>
  <cp:lastModifiedBy>WAGNER Fabian</cp:lastModifiedBy>
  <cp:revision>2</cp:revision>
  <dcterms:created xsi:type="dcterms:W3CDTF">2019-08-26T08:50:00Z</dcterms:created>
  <dcterms:modified xsi:type="dcterms:W3CDTF">2019-08-26T10:38:00Z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id="RlhQg9k8"/&gt;&lt;style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