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8C1A36" w14:textId="39B740BB" w:rsidR="00B613EC" w:rsidRPr="007B506D" w:rsidRDefault="007B506D" w:rsidP="00B613EC">
      <w:pPr>
        <w:rPr>
          <w:b/>
          <w:sz w:val="28"/>
          <w:szCs w:val="28"/>
        </w:rPr>
      </w:pPr>
      <w:bookmarkStart w:id="0" w:name="_GoBack"/>
      <w:bookmarkEnd w:id="0"/>
      <w:r w:rsidRPr="007B506D">
        <w:rPr>
          <w:b/>
          <w:sz w:val="28"/>
          <w:szCs w:val="28"/>
        </w:rPr>
        <w:t>Supplementary Information for</w:t>
      </w:r>
      <w:r>
        <w:rPr>
          <w:b/>
          <w:sz w:val="28"/>
          <w:szCs w:val="28"/>
        </w:rPr>
        <w:t>:</w:t>
      </w:r>
      <w:r w:rsidRPr="007B506D">
        <w:rPr>
          <w:b/>
          <w:sz w:val="28"/>
          <w:szCs w:val="28"/>
        </w:rPr>
        <w:t xml:space="preserve"> ‘</w:t>
      </w:r>
      <w:r w:rsidR="001E68C9" w:rsidRPr="001E68C9">
        <w:rPr>
          <w:b/>
          <w:sz w:val="28"/>
          <w:szCs w:val="28"/>
        </w:rPr>
        <w:t>Land use futures in the Shared Socio-Economic Pathways</w:t>
      </w:r>
      <w:r w:rsidRPr="007B506D">
        <w:rPr>
          <w:b/>
          <w:sz w:val="28"/>
          <w:szCs w:val="28"/>
        </w:rPr>
        <w:t>’</w:t>
      </w:r>
    </w:p>
    <w:p w14:paraId="01AE25A3" w14:textId="77777777" w:rsidR="007B506D" w:rsidRDefault="007B506D" w:rsidP="00B613EC">
      <w:pPr>
        <w:spacing w:after="0"/>
        <w:rPr>
          <w:b/>
          <w:sz w:val="24"/>
          <w:szCs w:val="24"/>
        </w:rPr>
      </w:pPr>
    </w:p>
    <w:p w14:paraId="5A9665E0" w14:textId="3D871144" w:rsidR="00B613EC" w:rsidRPr="00B613EC" w:rsidRDefault="007B506D" w:rsidP="00B613EC">
      <w:pPr>
        <w:spacing w:after="0"/>
        <w:rPr>
          <w:rFonts w:ascii="Calibri" w:eastAsia="Times New Roman" w:hAnsi="Calibri" w:cs="Calibri"/>
          <w:b/>
          <w:color w:val="000000"/>
          <w:sz w:val="24"/>
          <w:szCs w:val="24"/>
        </w:rPr>
      </w:pPr>
      <w:r>
        <w:rPr>
          <w:b/>
          <w:sz w:val="24"/>
          <w:szCs w:val="24"/>
        </w:rPr>
        <w:t>1</w:t>
      </w:r>
      <w:r w:rsidR="00B613EC">
        <w:rPr>
          <w:b/>
          <w:sz w:val="24"/>
          <w:szCs w:val="24"/>
        </w:rPr>
        <w:t xml:space="preserve">. </w:t>
      </w:r>
      <w:r w:rsidR="00B613EC" w:rsidRPr="00B613EC">
        <w:rPr>
          <w:rFonts w:ascii="Calibri" w:eastAsia="Times New Roman" w:hAnsi="Calibri" w:cs="Calibri"/>
          <w:b/>
          <w:color w:val="000000"/>
          <w:sz w:val="24"/>
          <w:szCs w:val="24"/>
        </w:rPr>
        <w:t>Overview on integrated modeling frameworks</w:t>
      </w:r>
    </w:p>
    <w:p w14:paraId="56CF2474" w14:textId="09E43E09" w:rsidR="00B613EC" w:rsidRDefault="00B613EC" w:rsidP="00B613EC">
      <w:pPr>
        <w:spacing w:after="0"/>
        <w:jc w:val="both"/>
        <w:rPr>
          <w:rFonts w:ascii="Calibri" w:eastAsia="Times New Roman" w:hAnsi="Calibri" w:cs="Calibri"/>
          <w:color w:val="000000"/>
        </w:rPr>
      </w:pPr>
      <w:r w:rsidRPr="00571ADB">
        <w:rPr>
          <w:rFonts w:ascii="Calibri" w:eastAsia="Times New Roman" w:hAnsi="Calibri" w:cs="Calibri"/>
          <w:color w:val="000000"/>
        </w:rPr>
        <w:t xml:space="preserve">Here, we give an overview on the </w:t>
      </w:r>
      <w:r>
        <w:rPr>
          <w:rFonts w:ascii="Calibri" w:eastAsia="Times New Roman" w:hAnsi="Calibri" w:cs="Calibri"/>
          <w:color w:val="000000"/>
        </w:rPr>
        <w:t>five</w:t>
      </w:r>
      <w:r w:rsidRPr="00571ADB">
        <w:rPr>
          <w:rFonts w:ascii="Calibri" w:eastAsia="Times New Roman" w:hAnsi="Calibri" w:cs="Calibri"/>
          <w:color w:val="000000"/>
        </w:rPr>
        <w:t xml:space="preserve"> integrated assessment frameworks and describe </w:t>
      </w:r>
      <w:r>
        <w:rPr>
          <w:rFonts w:ascii="Calibri" w:eastAsia="Times New Roman" w:hAnsi="Calibri" w:cs="Calibri"/>
          <w:color w:val="000000"/>
        </w:rPr>
        <w:t xml:space="preserve">briefly </w:t>
      </w:r>
      <w:r w:rsidRPr="00571ADB">
        <w:rPr>
          <w:rFonts w:ascii="Calibri" w:eastAsia="Times New Roman" w:hAnsi="Calibri" w:cs="Calibri"/>
          <w:color w:val="000000"/>
        </w:rPr>
        <w:t>how the</w:t>
      </w:r>
      <w:r>
        <w:rPr>
          <w:rFonts w:ascii="Calibri" w:eastAsia="Times New Roman" w:hAnsi="Calibri" w:cs="Calibri"/>
          <w:color w:val="000000"/>
        </w:rPr>
        <w:t xml:space="preserve"> </w:t>
      </w:r>
      <w:r w:rsidRPr="00571ADB">
        <w:rPr>
          <w:rFonts w:ascii="Calibri" w:eastAsia="Times New Roman" w:hAnsi="Calibri" w:cs="Calibri"/>
          <w:color w:val="000000"/>
        </w:rPr>
        <w:t>respective land-use modules interact with the energy and economy modules</w:t>
      </w:r>
      <w:r>
        <w:rPr>
          <w:rFonts w:ascii="Calibri" w:eastAsia="Times New Roman" w:hAnsi="Calibri" w:cs="Calibri"/>
          <w:color w:val="000000"/>
        </w:rPr>
        <w:t xml:space="preserve">. </w:t>
      </w:r>
      <w:r w:rsidRPr="00571ADB">
        <w:rPr>
          <w:rFonts w:ascii="Calibri" w:eastAsia="Times New Roman" w:hAnsi="Calibri" w:cs="Calibri"/>
          <w:color w:val="000000"/>
        </w:rPr>
        <w:t>More detailed descriptions of</w:t>
      </w:r>
      <w:r>
        <w:rPr>
          <w:rFonts w:ascii="Calibri" w:eastAsia="Times New Roman" w:hAnsi="Calibri" w:cs="Calibri"/>
          <w:color w:val="000000"/>
        </w:rPr>
        <w:t xml:space="preserve"> </w:t>
      </w:r>
      <w:r w:rsidRPr="00571ADB">
        <w:rPr>
          <w:rFonts w:ascii="Calibri" w:eastAsia="Times New Roman" w:hAnsi="Calibri" w:cs="Calibri"/>
          <w:color w:val="000000"/>
        </w:rPr>
        <w:t xml:space="preserve">the </w:t>
      </w:r>
      <w:r>
        <w:rPr>
          <w:rFonts w:ascii="Calibri" w:eastAsia="Times New Roman" w:hAnsi="Calibri" w:cs="Calibri"/>
          <w:color w:val="000000"/>
        </w:rPr>
        <w:t xml:space="preserve">models and specifically of the </w:t>
      </w:r>
      <w:r w:rsidRPr="00571ADB">
        <w:rPr>
          <w:rFonts w:ascii="Calibri" w:eastAsia="Times New Roman" w:hAnsi="Calibri" w:cs="Calibri"/>
          <w:color w:val="000000"/>
        </w:rPr>
        <w:t>land</w:t>
      </w:r>
      <w:r>
        <w:rPr>
          <w:rFonts w:ascii="Calibri" w:eastAsia="Times New Roman" w:hAnsi="Calibri" w:cs="Calibri"/>
          <w:color w:val="000000"/>
        </w:rPr>
        <w:t>-</w:t>
      </w:r>
      <w:r w:rsidRPr="00571ADB">
        <w:rPr>
          <w:rFonts w:ascii="Calibri" w:eastAsia="Times New Roman" w:hAnsi="Calibri" w:cs="Calibri"/>
          <w:color w:val="000000"/>
        </w:rPr>
        <w:t>use modules can be found</w:t>
      </w:r>
      <w:r>
        <w:rPr>
          <w:rFonts w:ascii="Calibri" w:eastAsia="Times New Roman" w:hAnsi="Calibri" w:cs="Calibri"/>
          <w:color w:val="000000"/>
        </w:rPr>
        <w:t xml:space="preserve"> in the model specific papers in this issue </w:t>
      </w:r>
      <w:r w:rsidR="001E68C9">
        <w:t>(Calvin et al.</w:t>
      </w:r>
      <w:r w:rsidR="001E68C9" w:rsidRPr="00FC22CE">
        <w:rPr>
          <w:rFonts w:ascii="Calibri" w:hAnsi="Calibri" w:cs="Times New Roman"/>
          <w:szCs w:val="24"/>
        </w:rPr>
        <w:t xml:space="preserve">, </w:t>
      </w:r>
      <w:r w:rsidR="001E68C9">
        <w:rPr>
          <w:rFonts w:ascii="Calibri" w:hAnsi="Calibri" w:cs="Times New Roman"/>
          <w:szCs w:val="24"/>
        </w:rPr>
        <w:t>this Special Issue</w:t>
      </w:r>
      <w:r w:rsidR="001E68C9">
        <w:t>, Fricko et al</w:t>
      </w:r>
      <w:r w:rsidR="001E68C9" w:rsidRPr="00FC22CE">
        <w:rPr>
          <w:rFonts w:ascii="Calibri" w:hAnsi="Calibri" w:cs="Times New Roman"/>
          <w:szCs w:val="24"/>
        </w:rPr>
        <w:t xml:space="preserve">, </w:t>
      </w:r>
      <w:r w:rsidR="001E68C9">
        <w:rPr>
          <w:rFonts w:ascii="Calibri" w:hAnsi="Calibri" w:cs="Times New Roman"/>
          <w:szCs w:val="24"/>
        </w:rPr>
        <w:t>this Special Issue,</w:t>
      </w:r>
      <w:r w:rsidR="001E68C9">
        <w:t xml:space="preserve"> Fujimori et al</w:t>
      </w:r>
      <w:r w:rsidR="001E68C9" w:rsidRPr="00FC22CE">
        <w:rPr>
          <w:rFonts w:ascii="Calibri" w:hAnsi="Calibri" w:cs="Times New Roman"/>
          <w:szCs w:val="24"/>
        </w:rPr>
        <w:t xml:space="preserve">, </w:t>
      </w:r>
      <w:r w:rsidR="001E68C9">
        <w:rPr>
          <w:rFonts w:ascii="Calibri" w:hAnsi="Calibri" w:cs="Times New Roman"/>
          <w:szCs w:val="24"/>
        </w:rPr>
        <w:t>this Special Issue,</w:t>
      </w:r>
      <w:r w:rsidR="001E68C9">
        <w:t xml:space="preserve"> Kriegler et al </w:t>
      </w:r>
      <w:r w:rsidR="001E68C9" w:rsidRPr="00FC22CE">
        <w:rPr>
          <w:rFonts w:ascii="Calibri" w:hAnsi="Calibri" w:cs="Times New Roman"/>
          <w:szCs w:val="24"/>
        </w:rPr>
        <w:t xml:space="preserve">, </w:t>
      </w:r>
      <w:r w:rsidR="001E68C9">
        <w:rPr>
          <w:rFonts w:ascii="Calibri" w:hAnsi="Calibri" w:cs="Times New Roman"/>
          <w:szCs w:val="24"/>
        </w:rPr>
        <w:t>this Special Issue</w:t>
      </w:r>
      <w:r w:rsidR="001E68C9">
        <w:t xml:space="preserve">, van Vuuren et al., </w:t>
      </w:r>
      <w:r w:rsidR="001E68C9">
        <w:rPr>
          <w:rFonts w:ascii="Calibri" w:hAnsi="Calibri" w:cs="Times New Roman"/>
          <w:szCs w:val="24"/>
        </w:rPr>
        <w:t>this Special Issue</w:t>
      </w:r>
      <w:r w:rsidR="001E68C9">
        <w:t>)</w:t>
      </w:r>
      <w:r>
        <w:rPr>
          <w:rFonts w:ascii="Calibri" w:eastAsia="Times New Roman" w:hAnsi="Calibri" w:cs="Calibri"/>
          <w:color w:val="000000"/>
        </w:rPr>
        <w:t>.</w:t>
      </w:r>
    </w:p>
    <w:p w14:paraId="63B66D6D" w14:textId="77777777" w:rsidR="00B613EC" w:rsidRDefault="00B613EC" w:rsidP="00B613EC">
      <w:pPr>
        <w:spacing w:after="0"/>
        <w:jc w:val="both"/>
        <w:rPr>
          <w:rFonts w:ascii="Calibri" w:eastAsia="Times New Roman" w:hAnsi="Calibri" w:cs="Calibri"/>
          <w:color w:val="000000"/>
        </w:rPr>
      </w:pPr>
    </w:p>
    <w:p w14:paraId="6890CF07" w14:textId="6E52C3EF" w:rsidR="00B613EC" w:rsidRPr="00571ADB" w:rsidRDefault="00B613EC" w:rsidP="00B613EC">
      <w:pPr>
        <w:spacing w:after="0"/>
        <w:jc w:val="both"/>
        <w:rPr>
          <w:rFonts w:ascii="Calibri" w:eastAsia="Times New Roman" w:hAnsi="Calibri" w:cs="Calibri"/>
          <w:color w:val="000000"/>
        </w:rPr>
      </w:pPr>
      <w:r w:rsidRPr="00A955AC">
        <w:rPr>
          <w:rFonts w:ascii="Calibri" w:eastAsia="Times New Roman" w:hAnsi="Calibri" w:cs="Calibri"/>
          <w:color w:val="000000"/>
        </w:rPr>
        <w:t xml:space="preserve">The </w:t>
      </w:r>
      <w:r w:rsidRPr="0026180A">
        <w:rPr>
          <w:rFonts w:ascii="Calibri" w:eastAsia="Times New Roman" w:hAnsi="Calibri" w:cs="Calibri"/>
          <w:b/>
          <w:i/>
          <w:color w:val="000000"/>
        </w:rPr>
        <w:t>ReMIND/MAgPIE</w:t>
      </w:r>
      <w:r w:rsidRPr="00A955AC">
        <w:rPr>
          <w:rFonts w:ascii="Calibri" w:eastAsia="Times New Roman" w:hAnsi="Calibri" w:cs="Calibri"/>
          <w:color w:val="000000"/>
        </w:rPr>
        <w:t xml:space="preserve"> integrated assessment framework </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{"citationID":"12e1cgst36","properties":{"formattedCitation":"(Popp et al., 2011)","plainCitation":"(Popp et al., 2011)"},"citationItems":[{"id":17,"uris":["http://zotero.org/users/local/p3KK5sK7/items/SX9ZEHXK"],"uri":["http://zotero.org/users/local/p3KK5sK7/items/SX9ZEHXK"],"itemData":{"id":17,"type":"article-journal","title":"The economic potential of bioenergy for climate change mitigation with special attention given to implications for the land system","container-title":"Environmental Research Letters","page":"034017","volume":"6","issue":"3","source":"Institute of Physics","DOI":"10.1088/1748-9326/6/3/034017","ISSN":"1748-9326","author":[{"family":"Popp","given":"Alexander"},{"family":"Dietrich","given":"Jan Philipp"},{"family":"Lotze-Campen","given":"Hermann"},{"family":"Klein","given":"David"},{"family":"Bauer","given":"Nico"},{"family":"Krause","given":"Michael"},{"family":"Beringer","given":"Tim"},{"family":"Gerten","given":"Dieter"},{"family":"Edenhofer","given":"Ottmar"}],"issued":{"date-parts":[["2011",7,1]]}}}],"schema":"https://github.com/citation-style-language/schema/raw/master/csl-citation.json"} </w:instrText>
      </w:r>
      <w:r>
        <w:rPr>
          <w:rFonts w:ascii="Calibri" w:eastAsia="Times New Roman" w:hAnsi="Calibri" w:cs="Calibri"/>
          <w:color w:val="000000"/>
        </w:rPr>
        <w:fldChar w:fldCharType="separate"/>
      </w:r>
      <w:r w:rsidRPr="00FC22CE">
        <w:rPr>
          <w:rFonts w:ascii="Calibri" w:hAnsi="Calibri"/>
        </w:rPr>
        <w:t>(Popp et al., 2011)</w:t>
      </w:r>
      <w:r>
        <w:rPr>
          <w:rFonts w:ascii="Calibri" w:eastAsia="Times New Roman" w:hAnsi="Calibri" w:cs="Calibri"/>
          <w:color w:val="000000"/>
        </w:rPr>
        <w:fldChar w:fldCharType="end"/>
      </w:r>
      <w:r>
        <w:rPr>
          <w:rFonts w:ascii="Calibri" w:eastAsia="Times New Roman" w:hAnsi="Calibri" w:cs="Calibri"/>
          <w:color w:val="000000"/>
        </w:rPr>
        <w:t xml:space="preserve"> </w:t>
      </w:r>
      <w:r w:rsidRPr="00A955AC">
        <w:rPr>
          <w:rFonts w:ascii="Calibri" w:eastAsia="Times New Roman" w:hAnsi="Calibri" w:cs="Calibri"/>
          <w:color w:val="000000"/>
        </w:rPr>
        <w:t xml:space="preserve">provides a consistent system for the evaluation of potentials and conflicts between </w:t>
      </w:r>
      <w:r>
        <w:rPr>
          <w:rFonts w:ascii="Calibri" w:eastAsia="Times New Roman" w:hAnsi="Calibri" w:cs="Calibri"/>
          <w:color w:val="000000"/>
        </w:rPr>
        <w:t xml:space="preserve">demographic and </w:t>
      </w:r>
      <w:r w:rsidRPr="00A955AC">
        <w:rPr>
          <w:rFonts w:ascii="Calibri" w:eastAsia="Times New Roman" w:hAnsi="Calibri" w:cs="Calibri"/>
          <w:color w:val="000000"/>
        </w:rPr>
        <w:t xml:space="preserve">economic development, food </w:t>
      </w:r>
      <w:r>
        <w:rPr>
          <w:rFonts w:ascii="Calibri" w:eastAsia="Times New Roman" w:hAnsi="Calibri" w:cs="Calibri"/>
          <w:color w:val="000000"/>
        </w:rPr>
        <w:t xml:space="preserve">production and land based mitigation </w:t>
      </w:r>
      <w:r w:rsidRPr="00A955AC">
        <w:rPr>
          <w:rFonts w:ascii="Calibri" w:eastAsia="Times New Roman" w:hAnsi="Calibri" w:cs="Calibri"/>
          <w:color w:val="000000"/>
        </w:rPr>
        <w:t xml:space="preserve">in different world regions. It consists of a global dynamic vegetation and water balance model, a global land and water use model, and a global energy–economy–climate model. The vegetation and hydrology model LPJmL </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{"citationID":"2puie09nro","properties":{"formattedCitation":"(Bondeau et al., 2007)","plainCitation":"(Bondeau et al., 2007)"},"citationItems":[{"id":382,"uris":["http://zotero.org/users/local/p3KK5sK7/items/SAWUFM8S"],"uri":["http://zotero.org/users/local/p3KK5sK7/items/SAWUFM8S"],"itemData":{"id":382,"type":"article-journal","title":"Modelling the role of agriculture for the 20th century global terrestrial carbon balance","container-title":"Global Change Biology","page":"679–706","volume":"13","issue":"3","source":"Wiley Online Library","abstract":"In order to better assess the role of agriculture within the global climate-vegetation system, we present a model of the managed planetary land surface, Lund–Potsdam–Jena managed Land (LPJmL), which simulates biophysical and biogeochemical processes as well as productivity and yield of the most important crops worldwide, using a concept of crop functional types (CFTs). Based on the LPJ-Dynamic Global Vegetation Model, LPJmL simulates the transient changes in carbon and water cycles due to land use, the specific phenology and seasonal CO2 fluxes of agricultural-dominated areas, and the production of crops and grazing land. It uses 13 CFTs (11 arable crops and two managed grass types), with specific parameterizations of phenology connected to leaf area development. Carbon is allocated daily towards four carbon pools, one being the yield-bearing storage organs. Management (irrigation, treatment of residues, intercropping) can be considered in order to capture their effect on productivity, on soil organic carbon and on carbon extracted from the ecosystem. For transient simulations for the 20th century, a global historical land use data set was developed, providing the annual cover fraction of the 13 CFTs, rain-fed and/or irrigated, within 0.5° grid cells for the period 1901–2000, using published data on land use, crop distributions and irrigated areas. Several key results are compared with observations. The simulated spatial distribution of sowing dates for temperate cereals is comparable with the reported crop calendars. The simulated seasonal canopy development agrees better with satellite observations when actual cropland distribution is taken into account. Simulated yields for temperate cereals and maize compare well with FAO statistics. Monthly carbon fluxes measured at three agricultural sites also compare well with simulations. Global simulations indicate a </w:instrText>
      </w:r>
      <w:r>
        <w:rPr>
          <w:rFonts w:ascii="Cambria Math" w:eastAsia="Times New Roman" w:hAnsi="Cambria Math" w:cs="Cambria Math"/>
          <w:color w:val="000000"/>
        </w:rPr>
        <w:instrText>∼</w:instrText>
      </w:r>
      <w:r>
        <w:rPr>
          <w:rFonts w:ascii="Calibri" w:eastAsia="Times New Roman" w:hAnsi="Calibri" w:cs="Calibri"/>
          <w:color w:val="000000"/>
        </w:rPr>
        <w:instrText xml:space="preserve">24% (respectively </w:instrText>
      </w:r>
      <w:r>
        <w:rPr>
          <w:rFonts w:ascii="Cambria Math" w:eastAsia="Times New Roman" w:hAnsi="Cambria Math" w:cs="Cambria Math"/>
          <w:color w:val="000000"/>
        </w:rPr>
        <w:instrText>∼</w:instrText>
      </w:r>
      <w:r>
        <w:rPr>
          <w:rFonts w:ascii="Calibri" w:eastAsia="Times New Roman" w:hAnsi="Calibri" w:cs="Calibri"/>
          <w:color w:val="000000"/>
        </w:rPr>
        <w:instrText>10%) reduction in global vegetation (respectively soil) carbon due to agriculture, and 6–9 Pg C of yearly harvested biomass in the 1990s. In contrast to simulations of the potential natural vegetation showing the land biosphere to be an increasing carbon sink during the 20th century, LPJmL simulates a net carbon source until the 1970s (due to land use), and a small sink (mostly due to changing climate and CO2) after 1970. This is comparable with earlier LPJ simulations using a more simple land use scheme, and within the uncertainty range of estimates in the 1980s and 1990s. The fluxes attributed to land use change compare well with Houghton's estimates on the land use related fluxes until the 1970s, but then they begin to diverge, probably due to the different rates of deforestation considered. The simulated impacts of agriculture on the global water cycle for the 1990s are</w:instrText>
      </w:r>
      <w:r>
        <w:rPr>
          <w:rFonts w:ascii="Cambria Math" w:eastAsia="Times New Roman" w:hAnsi="Cambria Math" w:cs="Cambria Math"/>
          <w:color w:val="000000"/>
        </w:rPr>
        <w:instrText>∼</w:instrText>
      </w:r>
      <w:r>
        <w:rPr>
          <w:rFonts w:ascii="Calibri" w:eastAsia="Times New Roman" w:hAnsi="Calibri" w:cs="Calibri"/>
          <w:color w:val="000000"/>
        </w:rPr>
        <w:instrText>5% (respectively</w:instrText>
      </w:r>
      <w:r>
        <w:rPr>
          <w:rFonts w:ascii="Cambria Math" w:eastAsia="Times New Roman" w:hAnsi="Cambria Math" w:cs="Cambria Math"/>
          <w:color w:val="000000"/>
        </w:rPr>
        <w:instrText>∼</w:instrText>
      </w:r>
      <w:r>
        <w:rPr>
          <w:rFonts w:ascii="Calibri" w:eastAsia="Times New Roman" w:hAnsi="Calibri" w:cs="Calibri"/>
          <w:color w:val="000000"/>
        </w:rPr>
        <w:instrText>20%) reduction in transpiration (respectively interception), and</w:instrText>
      </w:r>
      <w:r>
        <w:rPr>
          <w:rFonts w:ascii="Cambria Math" w:eastAsia="Times New Roman" w:hAnsi="Cambria Math" w:cs="Cambria Math"/>
          <w:color w:val="000000"/>
        </w:rPr>
        <w:instrText>∼</w:instrText>
      </w:r>
      <w:r>
        <w:rPr>
          <w:rFonts w:ascii="Calibri" w:eastAsia="Times New Roman" w:hAnsi="Calibri" w:cs="Calibri"/>
          <w:color w:val="000000"/>
        </w:rPr>
        <w:instrText xml:space="preserve">44% increase in evaporation. Global runoff, which includes a simple irrigation scheme, is practically not affected.","DOI":"10.1111/j.1365-2486.2006.01305.x","ISSN":"1365-2486","language":"en","author":[{"family":"Bondeau","given":"Alberte"},{"family":"Smith","given":"Pascalle C."},{"family":"Zaehle","given":"Sönke"},{"family":"Schaphoff","given":"Sibyll"},{"family":"Lucht","given":"Wolfgang"},{"family":"Cramer","given":"Wolfgang"},{"family":"Gerten","given":"Dieter"},{"family":"Lotze-Campen","given":"Hermann"},{"family":"Müller","given":"Christoph"},{"family":"Reichstein","given":"Markus"},{"family":"Smith","given":"Benjamin"}],"issued":{"date-parts":[["2007"]]}}}],"schema":"https://github.com/citation-style-language/schema/raw/master/csl-citation.json"} </w:instrText>
      </w:r>
      <w:r>
        <w:rPr>
          <w:rFonts w:ascii="Calibri" w:eastAsia="Times New Roman" w:hAnsi="Calibri" w:cs="Calibri"/>
          <w:color w:val="000000"/>
        </w:rPr>
        <w:fldChar w:fldCharType="separate"/>
      </w:r>
      <w:r w:rsidRPr="00FC22CE">
        <w:rPr>
          <w:rFonts w:ascii="Calibri" w:hAnsi="Calibri"/>
        </w:rPr>
        <w:t>(Bondeau et al., 2007)</w:t>
      </w:r>
      <w:r>
        <w:rPr>
          <w:rFonts w:ascii="Calibri" w:eastAsia="Times New Roman" w:hAnsi="Calibri" w:cs="Calibri"/>
          <w:color w:val="000000"/>
        </w:rPr>
        <w:fldChar w:fldCharType="end"/>
      </w:r>
      <w:r>
        <w:rPr>
          <w:rFonts w:ascii="Calibri" w:eastAsia="Times New Roman" w:hAnsi="Calibri" w:cs="Calibri"/>
          <w:color w:val="000000"/>
        </w:rPr>
        <w:t xml:space="preserve"> supplies spatially explicit </w:t>
      </w:r>
      <w:r w:rsidRPr="00A955AC">
        <w:rPr>
          <w:rFonts w:ascii="Calibri" w:eastAsia="Times New Roman" w:hAnsi="Calibri" w:cs="Calibri"/>
          <w:color w:val="000000"/>
        </w:rPr>
        <w:t xml:space="preserve">agricultural yields, carbon contents and water fluxes. </w:t>
      </w:r>
      <w:r>
        <w:t xml:space="preserve">MagPIE </w:t>
      </w:r>
      <w:r w:rsidRPr="00A955AC">
        <w:rPr>
          <w:rFonts w:ascii="Calibri" w:eastAsia="Times New Roman" w:hAnsi="Calibri" w:cs="Calibri"/>
          <w:color w:val="000000"/>
        </w:rPr>
        <w:t>(Lotze-Campen et al. 2008</w:t>
      </w:r>
      <w:r>
        <w:rPr>
          <w:rFonts w:ascii="Calibri" w:eastAsia="Times New Roman" w:hAnsi="Calibri" w:cs="Calibri"/>
          <w:color w:val="000000"/>
        </w:rPr>
        <w:t>, Popp et al. 2014</w:t>
      </w:r>
      <w:r w:rsidRPr="00A955AC">
        <w:rPr>
          <w:rFonts w:ascii="Calibri" w:eastAsia="Times New Roman" w:hAnsi="Calibri" w:cs="Calibri"/>
          <w:color w:val="000000"/>
        </w:rPr>
        <w:t xml:space="preserve">) </w:t>
      </w:r>
      <w:r w:rsidRPr="00571ADB">
        <w:t xml:space="preserve">takes </w:t>
      </w:r>
      <w:r>
        <w:t xml:space="preserve">the </w:t>
      </w:r>
      <w:r w:rsidRPr="00571ADB">
        <w:t xml:space="preserve">spatially explicit data </w:t>
      </w:r>
      <w:r>
        <w:t>from LPJmL,</w:t>
      </w:r>
      <w:r w:rsidRPr="00571ADB">
        <w:t xml:space="preserve"> </w:t>
      </w:r>
      <w:r>
        <w:t xml:space="preserve">as well as regional </w:t>
      </w:r>
      <w:r w:rsidRPr="001307AC">
        <w:rPr>
          <w:lang w:val="nl-NL"/>
        </w:rPr>
        <w:t xml:space="preserve">economic conditions such as demand for agricultural commodities, trade, level of agricultural technology, and production costs into account and derives specific land use patterns, </w:t>
      </w:r>
      <w:r w:rsidRPr="001307AC">
        <w:rPr>
          <w:rFonts w:ascii="Calibri" w:eastAsia="Times New Roman" w:hAnsi="Calibri" w:cs="Calibri"/>
          <w:color w:val="000000"/>
          <w:lang w:val="nl-NL"/>
        </w:rPr>
        <w:t>rates of future agricultural yield increases</w:t>
      </w:r>
      <w:r w:rsidRPr="00A955AC">
        <w:rPr>
          <w:rFonts w:ascii="Calibri" w:eastAsia="Times New Roman" w:hAnsi="Calibri" w:cs="Calibri"/>
          <w:color w:val="000000"/>
        </w:rPr>
        <w:t xml:space="preserve">, </w:t>
      </w:r>
      <w:r>
        <w:rPr>
          <w:rFonts w:ascii="Calibri" w:eastAsia="Times New Roman" w:hAnsi="Calibri" w:cs="Calibri"/>
          <w:color w:val="000000"/>
        </w:rPr>
        <w:t>GHG</w:t>
      </w:r>
      <w:r w:rsidRPr="00A955AC">
        <w:rPr>
          <w:rFonts w:ascii="Calibri" w:eastAsia="Times New Roman" w:hAnsi="Calibri" w:cs="Calibri"/>
          <w:color w:val="000000"/>
        </w:rPr>
        <w:t xml:space="preserve"> emissions </w:t>
      </w:r>
      <w:r>
        <w:rPr>
          <w:rFonts w:ascii="Calibri" w:eastAsia="Times New Roman" w:hAnsi="Calibri" w:cs="Calibri"/>
          <w:color w:val="000000"/>
        </w:rPr>
        <w:t>from</w:t>
      </w:r>
      <w:r w:rsidRPr="00A955AC">
        <w:rPr>
          <w:rFonts w:ascii="Calibri" w:eastAsia="Times New Roman" w:hAnsi="Calibri" w:cs="Calibri"/>
          <w:color w:val="000000"/>
        </w:rPr>
        <w:t xml:space="preserve"> </w:t>
      </w:r>
      <w:r>
        <w:rPr>
          <w:rFonts w:ascii="Calibri" w:eastAsia="Times New Roman" w:hAnsi="Calibri" w:cs="Calibri"/>
          <w:color w:val="000000"/>
        </w:rPr>
        <w:t>agricultural production</w:t>
      </w:r>
      <w:r w:rsidRPr="00A955AC">
        <w:rPr>
          <w:rFonts w:ascii="Calibri" w:eastAsia="Times New Roman" w:hAnsi="Calibri" w:cs="Calibri"/>
          <w:color w:val="000000"/>
        </w:rPr>
        <w:t xml:space="preserve"> and land use change </w:t>
      </w:r>
      <w:r w:rsidRPr="001307AC">
        <w:rPr>
          <w:rFonts w:ascii="Calibri" w:eastAsia="Times New Roman" w:hAnsi="Calibri" w:cs="Calibri"/>
          <w:color w:val="000000"/>
          <w:lang w:val="nl-NL"/>
        </w:rPr>
        <w:t xml:space="preserve"> </w:t>
      </w:r>
      <w:r w:rsidRPr="001307AC">
        <w:rPr>
          <w:lang w:val="nl-NL"/>
        </w:rPr>
        <w:t>and total costs of agricultural production for each grid cell</w:t>
      </w:r>
      <w:r w:rsidRPr="001307AC">
        <w:rPr>
          <w:rFonts w:ascii="Calibri" w:eastAsia="Times New Roman" w:hAnsi="Calibri" w:cs="Calibri"/>
          <w:color w:val="000000"/>
          <w:lang w:val="nl-NL"/>
        </w:rPr>
        <w:t xml:space="preserve">. </w:t>
      </w:r>
      <w:r>
        <w:rPr>
          <w:rFonts w:ascii="Calibri" w:eastAsia="Times New Roman" w:hAnsi="Calibri" w:cs="Calibri"/>
          <w:color w:val="000000"/>
        </w:rPr>
        <w:t>T</w:t>
      </w:r>
      <w:r w:rsidRPr="00A955AC">
        <w:rPr>
          <w:rFonts w:ascii="Calibri" w:eastAsia="Times New Roman" w:hAnsi="Calibri" w:cs="Calibri"/>
          <w:color w:val="000000"/>
        </w:rPr>
        <w:t xml:space="preserve">he energy–economy–climate model ReMIND </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{"citationID":"20v41rjtae","properties":{"formattedCitation":"(Luderer et al., 2013)","plainCitation":"(Luderer et al., 2013)"},"citationItems":[{"id":648,"uris":["http://zotero.org/users/local/p3KK5sK7/items/K2ACW9P5"],"uri":["http://zotero.org/users/local/p3KK5sK7/items/K2ACW9P5"],"itemData":{"id":648,"type":"article-journal","title":"Economic mitigation challenges: how further delay closes the door for achieving climate targets","container-title":"Environmental Research Letters","page":"034033","volume":"8","issue":"3","source":"Institute of Physics","abstract":"While the international community aims to limit global warming to below 2 ° C to prevent dangerous climate change, little progress has been made towards a global climate agreement to implement the emissions reductions required to reach this target. We use an integrated energy–economy–climate modeling system to examine how a further delay of cooperative action and technology availability affect climate mitigation challenges. With comprehensive emissions reductions starting after 2015 and full technology availability we estimate that maximum 21st century warming may still be limited below 2 ° C with a likely probability and at moderate economic impacts. Achievable temperature targets rise by up to </w:instrText>
      </w:r>
      <w:r>
        <w:rPr>
          <w:rFonts w:ascii="Cambria Math" w:eastAsia="Times New Roman" w:hAnsi="Cambria Math" w:cs="Cambria Math"/>
          <w:color w:val="000000"/>
        </w:rPr>
        <w:instrText>∼</w:instrText>
      </w:r>
      <w:r>
        <w:rPr>
          <w:rFonts w:ascii="Calibri" w:eastAsia="Times New Roman" w:hAnsi="Calibri" w:cs="Calibri"/>
          <w:color w:val="000000"/>
        </w:rPr>
        <w:instrText xml:space="preserve">0.4 ° C if the implementation of comprehensive climate policies is delayed by another 15 years, chiefly because of transitional economic impacts. If carbon capture and storage (CCS) is unavailable, the lower limit of achievable targets rises by up to </w:instrText>
      </w:r>
      <w:r>
        <w:rPr>
          <w:rFonts w:ascii="Cambria Math" w:eastAsia="Times New Roman" w:hAnsi="Cambria Math" w:cs="Cambria Math"/>
          <w:color w:val="000000"/>
        </w:rPr>
        <w:instrText>∼</w:instrText>
      </w:r>
      <w:r>
        <w:rPr>
          <w:rFonts w:ascii="Calibri" w:eastAsia="Times New Roman" w:hAnsi="Calibri" w:cs="Calibri"/>
          <w:color w:val="000000"/>
        </w:rPr>
        <w:instrText xml:space="preserve">0.3 ° C. Our results show that progress in international climate negotiations within this decade is imperative to keep the 2 ° C target within reach.","DOI":"10.1088/1748-9326/8/3/034033","ISSN":"1748-9326","shortTitle":"Economic mitigation challenges","journalAbbreviation":"Environ. Res. Lett.","language":"en","author":[{"family":"Luderer","given":"Gunnar"},{"family":"Pietzcker","given":"Robert C."},{"family":"Bertram","given":"Christoph"},{"family":"Kriegler","given":"Elmar"},{"family":"Meinshausen","given":"Malte"},{"family":"Edenhofer","given":"Ottmar"}],"issued":{"date-parts":[["2013",9,1]]}}}],"schema":"https://github.com/citation-style-language/schema/raw/master/csl-citation.json"} </w:instrText>
      </w:r>
      <w:r>
        <w:rPr>
          <w:rFonts w:ascii="Calibri" w:eastAsia="Times New Roman" w:hAnsi="Calibri" w:cs="Calibri"/>
          <w:color w:val="000000"/>
        </w:rPr>
        <w:fldChar w:fldCharType="separate"/>
      </w:r>
      <w:r w:rsidRPr="00FC22CE">
        <w:rPr>
          <w:rFonts w:ascii="Calibri" w:hAnsi="Calibri"/>
        </w:rPr>
        <w:t>(Luderer et al., 201</w:t>
      </w:r>
      <w:r>
        <w:rPr>
          <w:rFonts w:ascii="Calibri" w:hAnsi="Calibri"/>
        </w:rPr>
        <w:t>3</w:t>
      </w:r>
      <w:r w:rsidRPr="00FC22CE">
        <w:rPr>
          <w:rFonts w:ascii="Calibri" w:hAnsi="Calibri"/>
        </w:rPr>
        <w:t>)</w:t>
      </w:r>
      <w:r>
        <w:rPr>
          <w:rFonts w:ascii="Calibri" w:eastAsia="Times New Roman" w:hAnsi="Calibri" w:cs="Calibri"/>
          <w:color w:val="000000"/>
        </w:rPr>
        <w:fldChar w:fldCharType="end"/>
      </w:r>
      <w:r>
        <w:rPr>
          <w:rFonts w:ascii="Calibri" w:eastAsia="Times New Roman" w:hAnsi="Calibri" w:cs="Calibri"/>
          <w:color w:val="000000"/>
        </w:rPr>
        <w:t xml:space="preserve"> </w:t>
      </w:r>
      <w:r w:rsidRPr="00A955AC">
        <w:rPr>
          <w:rFonts w:ascii="Calibri" w:eastAsia="Times New Roman" w:hAnsi="Calibri" w:cs="Calibri"/>
          <w:color w:val="000000"/>
        </w:rPr>
        <w:t>generates demand for bioenergy, taking into account the direct competition with other energy technology options</w:t>
      </w:r>
      <w:r>
        <w:rPr>
          <w:rFonts w:ascii="Calibri" w:eastAsia="Times New Roman" w:hAnsi="Calibri" w:cs="Calibri"/>
          <w:color w:val="000000"/>
        </w:rPr>
        <w:t xml:space="preserve">. ReMIND </w:t>
      </w:r>
      <w:r w:rsidRPr="00571ADB">
        <w:rPr>
          <w:rFonts w:ascii="Calibri" w:eastAsia="Times New Roman" w:hAnsi="Calibri" w:cs="Calibri"/>
          <w:color w:val="000000"/>
        </w:rPr>
        <w:t>and MAgPIE are</w:t>
      </w:r>
      <w:r>
        <w:rPr>
          <w:rFonts w:ascii="Calibri" w:eastAsia="Times New Roman" w:hAnsi="Calibri" w:cs="Calibri"/>
          <w:color w:val="000000"/>
        </w:rPr>
        <w:t xml:space="preserve"> </w:t>
      </w:r>
      <w:r w:rsidRPr="00571ADB">
        <w:rPr>
          <w:rFonts w:ascii="Calibri" w:eastAsia="Times New Roman" w:hAnsi="Calibri" w:cs="Calibri"/>
          <w:color w:val="000000"/>
        </w:rPr>
        <w:t>coupled by exchanging price and demand information on</w:t>
      </w:r>
      <w:r>
        <w:rPr>
          <w:rFonts w:ascii="Calibri" w:eastAsia="Times New Roman" w:hAnsi="Calibri" w:cs="Calibri"/>
          <w:color w:val="000000"/>
        </w:rPr>
        <w:t xml:space="preserve"> </w:t>
      </w:r>
      <w:r w:rsidRPr="00571ADB">
        <w:rPr>
          <w:rFonts w:ascii="Calibri" w:eastAsia="Times New Roman" w:hAnsi="Calibri" w:cs="Calibri"/>
          <w:color w:val="000000"/>
        </w:rPr>
        <w:t>bioenergy</w:t>
      </w:r>
      <w:r>
        <w:rPr>
          <w:rFonts w:ascii="Calibri" w:eastAsia="Times New Roman" w:hAnsi="Calibri" w:cs="Calibri"/>
          <w:color w:val="000000"/>
        </w:rPr>
        <w:t>, GHG prices and emissions from land use and land use change</w:t>
      </w:r>
      <w:r w:rsidRPr="00571ADB">
        <w:rPr>
          <w:rFonts w:ascii="Calibri" w:eastAsia="Times New Roman" w:hAnsi="Calibri" w:cs="Calibri"/>
          <w:color w:val="000000"/>
        </w:rPr>
        <w:t>.</w:t>
      </w:r>
      <w:r>
        <w:rPr>
          <w:rFonts w:ascii="Calibri" w:eastAsia="Times New Roman" w:hAnsi="Calibri" w:cs="Calibri"/>
          <w:color w:val="000000"/>
        </w:rPr>
        <w:t xml:space="preserve"> Finally, all emissions from MAgPIE and ReMIND (land use, energy supply, industry, transport, residential and commercial) </w:t>
      </w:r>
      <w:r w:rsidRPr="00571ADB">
        <w:rPr>
          <w:rFonts w:ascii="Calibri" w:eastAsia="Times New Roman" w:hAnsi="Calibri" w:cs="Calibri"/>
          <w:color w:val="000000"/>
        </w:rPr>
        <w:t>are fed into the MAGICC model in order to</w:t>
      </w:r>
      <w:r>
        <w:rPr>
          <w:rFonts w:ascii="Calibri" w:eastAsia="Times New Roman" w:hAnsi="Calibri" w:cs="Calibri"/>
          <w:color w:val="000000"/>
        </w:rPr>
        <w:t xml:space="preserve"> compute </w:t>
      </w:r>
      <w:r w:rsidRPr="00571ADB">
        <w:rPr>
          <w:rFonts w:ascii="Calibri" w:eastAsia="Times New Roman" w:hAnsi="Calibri" w:cs="Calibri"/>
          <w:color w:val="000000"/>
        </w:rPr>
        <w:t xml:space="preserve">climate change </w:t>
      </w:r>
      <w:r>
        <w:rPr>
          <w:rFonts w:ascii="Calibri" w:eastAsia="Times New Roman" w:hAnsi="Calibri" w:cs="Calibri"/>
          <w:color w:val="000000"/>
        </w:rPr>
        <w:t>outcomes</w:t>
      </w:r>
      <w:r w:rsidRPr="00571ADB">
        <w:rPr>
          <w:rFonts w:ascii="Calibri" w:eastAsia="Times New Roman" w:hAnsi="Calibri" w:cs="Calibri"/>
          <w:color w:val="000000"/>
        </w:rPr>
        <w:t>.</w:t>
      </w:r>
    </w:p>
    <w:p w14:paraId="166336FB" w14:textId="77777777" w:rsidR="00B613EC" w:rsidRDefault="00B613EC" w:rsidP="00B613EC">
      <w:pPr>
        <w:spacing w:after="0"/>
        <w:jc w:val="both"/>
        <w:rPr>
          <w:rFonts w:ascii="Calibri" w:eastAsia="Times New Roman" w:hAnsi="Calibri" w:cs="Calibri"/>
          <w:color w:val="000000"/>
        </w:rPr>
      </w:pPr>
    </w:p>
    <w:p w14:paraId="77410330" w14:textId="16DFE74E" w:rsidR="00B613EC" w:rsidRDefault="00B613EC" w:rsidP="00B613EC">
      <w:pPr>
        <w:spacing w:after="0"/>
        <w:jc w:val="both"/>
        <w:rPr>
          <w:rFonts w:ascii="Calibri" w:eastAsia="Times New Roman" w:hAnsi="Calibri" w:cs="Calibri"/>
          <w:color w:val="000000"/>
        </w:rPr>
      </w:pPr>
      <w:r w:rsidRPr="00A955AC">
        <w:rPr>
          <w:rFonts w:ascii="Calibri" w:eastAsia="Times New Roman" w:hAnsi="Calibri" w:cs="Calibri"/>
          <w:color w:val="000000"/>
        </w:rPr>
        <w:t xml:space="preserve">The </w:t>
      </w:r>
      <w:r w:rsidRPr="0026180A">
        <w:rPr>
          <w:rFonts w:ascii="Calibri" w:eastAsia="Times New Roman" w:hAnsi="Calibri" w:cs="Calibri"/>
          <w:b/>
          <w:i/>
          <w:color w:val="000000"/>
        </w:rPr>
        <w:t>GCAM</w:t>
      </w:r>
      <w:r w:rsidRPr="00A955AC">
        <w:rPr>
          <w:rFonts w:ascii="Calibri" w:eastAsia="Times New Roman" w:hAnsi="Calibri" w:cs="Calibri"/>
          <w:color w:val="000000"/>
        </w:rPr>
        <w:t xml:space="preserve"> integrated assessment model links modules of the economy, the energy system, the agriculture and land-use system, and the climate. The agriculture and land-use component (Wise et al., </w:t>
      </w:r>
      <w:r w:rsidR="00714490">
        <w:rPr>
          <w:rFonts w:ascii="Calibri" w:eastAsia="Times New Roman" w:hAnsi="Calibri" w:cs="Calibri"/>
          <w:color w:val="000000"/>
        </w:rPr>
        <w:t>2014</w:t>
      </w:r>
      <w:r w:rsidRPr="00A955AC">
        <w:rPr>
          <w:rFonts w:ascii="Calibri" w:eastAsia="Times New Roman" w:hAnsi="Calibri" w:cs="Calibri"/>
          <w:color w:val="000000"/>
        </w:rPr>
        <w:t xml:space="preserve">) determines supply, demand, and prices for 12 crop and forestry categories, 6 animal categories, and bioenergy based on expected profitability. Additionally, the model determines the land allocation of these categories, as well as pastureland, grassland, shrubland, and non-commercial forestland. </w:t>
      </w:r>
      <w:r>
        <w:rPr>
          <w:rFonts w:ascii="Calibri" w:eastAsia="Times New Roman" w:hAnsi="Calibri" w:cs="Calibri"/>
          <w:color w:val="000000"/>
        </w:rPr>
        <w:t xml:space="preserve">GCAM includes both irrigated and rainfed options for all crop categories, and the use of irrigation depends on the price of the commodity and the cost of the irrigation water, among other factors. </w:t>
      </w:r>
      <w:r w:rsidRPr="00A955AC">
        <w:rPr>
          <w:rFonts w:ascii="Calibri" w:eastAsia="Times New Roman" w:hAnsi="Calibri" w:cs="Calibri"/>
          <w:color w:val="000000"/>
        </w:rPr>
        <w:t xml:space="preserve">Supply and land-use is resolved for </w:t>
      </w:r>
      <w:r>
        <w:rPr>
          <w:rFonts w:ascii="Calibri" w:eastAsia="Times New Roman" w:hAnsi="Calibri" w:cs="Calibri"/>
          <w:color w:val="000000"/>
        </w:rPr>
        <w:t>283</w:t>
      </w:r>
      <w:r w:rsidRPr="00A955AC">
        <w:rPr>
          <w:rFonts w:ascii="Calibri" w:eastAsia="Times New Roman" w:hAnsi="Calibri" w:cs="Calibri"/>
          <w:color w:val="000000"/>
        </w:rPr>
        <w:t xml:space="preserve"> world regions, while demand is resolved for </w:t>
      </w:r>
      <w:r>
        <w:rPr>
          <w:rFonts w:ascii="Calibri" w:eastAsia="Times New Roman" w:hAnsi="Calibri" w:cs="Calibri"/>
          <w:color w:val="000000"/>
        </w:rPr>
        <w:t>32</w:t>
      </w:r>
      <w:r w:rsidRPr="00A955AC">
        <w:rPr>
          <w:rFonts w:ascii="Calibri" w:eastAsia="Times New Roman" w:hAnsi="Calibri" w:cs="Calibri"/>
          <w:color w:val="000000"/>
        </w:rPr>
        <w:t xml:space="preserve"> world regions. Within each of the </w:t>
      </w:r>
      <w:r>
        <w:rPr>
          <w:rFonts w:ascii="Calibri" w:eastAsia="Times New Roman" w:hAnsi="Calibri" w:cs="Calibri"/>
          <w:color w:val="000000"/>
        </w:rPr>
        <w:t>283</w:t>
      </w:r>
      <w:r w:rsidRPr="00A955AC">
        <w:rPr>
          <w:rFonts w:ascii="Calibri" w:eastAsia="Times New Roman" w:hAnsi="Calibri" w:cs="Calibri"/>
          <w:color w:val="000000"/>
        </w:rPr>
        <w:t xml:space="preserve"> model regions, land is allocated economically based on profit maximization with an assumption of non-linear distributions of profits for each competing use. Demand for bioenergy is determined by the energy system component of GCAM, which is fully integrated with the agriculture and land use component.  GCAM allows for global trade in crops, forestry, and bioenergy.  In addition to computing land-use change CO2 emissions, emissions from land use (e.g., crop and bioenergy production, </w:t>
      </w:r>
      <w:r w:rsidRPr="00A955AC">
        <w:rPr>
          <w:rFonts w:ascii="Calibri" w:eastAsia="Times New Roman" w:hAnsi="Calibri" w:cs="Calibri"/>
          <w:color w:val="000000"/>
        </w:rPr>
        <w:lastRenderedPageBreak/>
        <w:t xml:space="preserve">agriculture waste burning, meat production, savannah burning, forest fires) are tracked for 8 gases and species (CH4, N2O, NH3, VOCs, NOx, SO2, BC, OC). Mitigation of CH4 and N2O from crop, bioenergy, and meat production is considered under a carbon price, using marginal abatement cost curves.  </w:t>
      </w:r>
    </w:p>
    <w:p w14:paraId="142437A2" w14:textId="77777777" w:rsidR="00B613EC" w:rsidRPr="00A955AC" w:rsidRDefault="00B613EC" w:rsidP="00B613EC">
      <w:pPr>
        <w:spacing w:after="0"/>
        <w:jc w:val="both"/>
        <w:rPr>
          <w:rFonts w:ascii="Calibri" w:eastAsia="Times New Roman" w:hAnsi="Calibri" w:cs="Calibri"/>
          <w:color w:val="000000"/>
        </w:rPr>
      </w:pPr>
    </w:p>
    <w:p w14:paraId="4C770A9B" w14:textId="7EA9D29E" w:rsidR="00B613EC" w:rsidRDefault="00B613EC" w:rsidP="00B613EC">
      <w:pPr>
        <w:spacing w:after="0"/>
        <w:jc w:val="both"/>
        <w:rPr>
          <w:rFonts w:ascii="Calibri" w:eastAsia="Times New Roman" w:hAnsi="Calibri" w:cs="Calibri"/>
          <w:color w:val="000000"/>
        </w:rPr>
      </w:pPr>
      <w:r w:rsidRPr="00A955AC">
        <w:rPr>
          <w:rFonts w:ascii="Calibri" w:eastAsia="Times New Roman" w:hAnsi="Calibri" w:cs="Calibri"/>
          <w:color w:val="000000"/>
        </w:rPr>
        <w:t xml:space="preserve">The </w:t>
      </w:r>
      <w:r w:rsidRPr="0026180A">
        <w:rPr>
          <w:rFonts w:ascii="Calibri" w:eastAsia="Times New Roman" w:hAnsi="Calibri" w:cs="Calibri"/>
          <w:b/>
          <w:i/>
          <w:color w:val="000000"/>
        </w:rPr>
        <w:t>IMAGE</w:t>
      </w:r>
      <w:r w:rsidRPr="00A955AC">
        <w:rPr>
          <w:rFonts w:ascii="Calibri" w:eastAsia="Times New Roman" w:hAnsi="Calibri" w:cs="Calibri"/>
          <w:color w:val="000000"/>
        </w:rPr>
        <w:t xml:space="preserve"> framework </w:t>
      </w:r>
      <w:r w:rsidR="00714490">
        <w:t>(</w:t>
      </w:r>
      <w:r w:rsidR="00714490" w:rsidRPr="00714490">
        <w:t>Stehfest et al. 2014)</w:t>
      </w:r>
      <w:r w:rsidR="00714490">
        <w:t xml:space="preserve"> </w:t>
      </w:r>
      <w:r w:rsidRPr="00A955AC">
        <w:rPr>
          <w:rFonts w:ascii="Calibri" w:eastAsia="Times New Roman" w:hAnsi="Calibri" w:cs="Calibri"/>
          <w:color w:val="000000"/>
        </w:rPr>
        <w:t xml:space="preserve">describes various global environmental change issues using a set of linked submodels describing the energy system, the agricultural economy and land use, natural vegetation and the climate system. The socio-economic models distinguish 26 world regions, while the natural ecosystems mostly work at a </w:t>
      </w:r>
      <w:r>
        <w:rPr>
          <w:rFonts w:ascii="Calibri" w:eastAsia="Times New Roman" w:hAnsi="Calibri" w:cs="Calibri"/>
          <w:color w:val="000000"/>
        </w:rPr>
        <w:t xml:space="preserve">5 x 5 minutes and 30 x 30 minutes </w:t>
      </w:r>
      <w:r w:rsidRPr="00A955AC">
        <w:rPr>
          <w:rFonts w:ascii="Calibri" w:eastAsia="Times New Roman" w:hAnsi="Calibri" w:cs="Calibri"/>
          <w:color w:val="000000"/>
        </w:rPr>
        <w:t xml:space="preserve">grid. </w:t>
      </w:r>
      <w:r>
        <w:rPr>
          <w:rFonts w:ascii="Calibri" w:eastAsia="Times New Roman" w:hAnsi="Calibri" w:cs="Calibri"/>
          <w:color w:val="000000"/>
        </w:rPr>
        <w:t>Agricultural demand, production and trade is modelled via the MAGNET model</w:t>
      </w:r>
      <w:r w:rsidR="00714490">
        <w:rPr>
          <w:rFonts w:ascii="Calibri" w:eastAsia="Times New Roman" w:hAnsi="Calibri" w:cs="Calibri"/>
          <w:color w:val="000000"/>
        </w:rPr>
        <w:t xml:space="preserve"> (Woltjer et al. 2014)</w:t>
      </w:r>
      <w:r>
        <w:rPr>
          <w:rFonts w:ascii="Calibri" w:eastAsia="Times New Roman" w:hAnsi="Calibri" w:cs="Calibri"/>
          <w:color w:val="000000"/>
        </w:rPr>
        <w:t xml:space="preserve">, which is integral part of the IMAGE framework in most scenario studies. </w:t>
      </w:r>
      <w:r w:rsidRPr="00A955AC">
        <w:rPr>
          <w:rFonts w:ascii="Calibri" w:eastAsia="Times New Roman" w:hAnsi="Calibri" w:cs="Calibri"/>
          <w:color w:val="000000"/>
        </w:rPr>
        <w:t xml:space="preserve">The use of bio-energy plays a role at several components of the IMAGE system. First of all, the potential for bio-energy is determined using the land use model, taking into account several sustainability criteria, i.e. the exclusion of forests areas, agricultural areas and nature reserves (see van Vuuren et al., 2009).  In the energy submodel, the demand for bio-energy is assessed by describing the cost-based competition of bio-energy versus other energy carriers (mostly in the transport, electricity production, industry and the residential sectors). The resulting demand for bio-energy crops is combined with the demand for other agricultural products within a region to determine future land use. For this, </w:t>
      </w:r>
      <w:r>
        <w:rPr>
          <w:rFonts w:ascii="Calibri" w:eastAsia="Times New Roman" w:hAnsi="Calibri" w:cs="Calibri"/>
          <w:color w:val="000000"/>
        </w:rPr>
        <w:t>the LPJml</w:t>
      </w:r>
      <w:r w:rsidRPr="00A955AC">
        <w:rPr>
          <w:rFonts w:ascii="Calibri" w:eastAsia="Times New Roman" w:hAnsi="Calibri" w:cs="Calibri"/>
          <w:color w:val="000000"/>
        </w:rPr>
        <w:t xml:space="preserve"> model is used, determining yields as a function of land and climate conditions and assumed changes in technology. Based on these spatially explicit attainable yields, and other suitability considerations, land use is allocated on the grid</w:t>
      </w:r>
      <w:r>
        <w:rPr>
          <w:rFonts w:ascii="Calibri" w:eastAsia="Times New Roman" w:hAnsi="Calibri" w:cs="Calibri"/>
          <w:color w:val="000000"/>
        </w:rPr>
        <w:t xml:space="preserve"> level</w:t>
      </w:r>
      <w:r w:rsidRPr="00A955AC">
        <w:rPr>
          <w:rFonts w:ascii="Calibri" w:eastAsia="Times New Roman" w:hAnsi="Calibri" w:cs="Calibri"/>
          <w:color w:val="000000"/>
        </w:rPr>
        <w:t>. Finally, the emissions associated with land use and land-use change and the energy system are used in the climate model (MAGICC-6) to determine climate change, which then affects all biophysical submodels.</w:t>
      </w:r>
    </w:p>
    <w:p w14:paraId="0DDEC476" w14:textId="77777777" w:rsidR="00B613EC" w:rsidRDefault="00B613EC" w:rsidP="00B613EC">
      <w:pPr>
        <w:spacing w:after="0"/>
        <w:jc w:val="both"/>
        <w:rPr>
          <w:rFonts w:ascii="Calibri" w:eastAsia="Times New Roman" w:hAnsi="Calibri" w:cs="Calibri"/>
          <w:color w:val="000000"/>
        </w:rPr>
      </w:pPr>
    </w:p>
    <w:p w14:paraId="3623A8C7" w14:textId="142C9B84" w:rsidR="00B613EC" w:rsidRPr="001307AC" w:rsidRDefault="00B613EC" w:rsidP="00B613EC">
      <w:pPr>
        <w:jc w:val="both"/>
      </w:pPr>
      <w:r w:rsidRPr="00EC3694">
        <w:rPr>
          <w:rFonts w:cs="Calibri"/>
          <w:color w:val="000000"/>
          <w:lang w:eastAsia="ja-JP"/>
        </w:rPr>
        <w:t xml:space="preserve">The </w:t>
      </w:r>
      <w:r w:rsidRPr="00EC3694">
        <w:rPr>
          <w:rFonts w:eastAsia="HiraMinPro-W3"/>
          <w:b/>
        </w:rPr>
        <w:t>AIM</w:t>
      </w:r>
      <w:r w:rsidRPr="00C42AA6">
        <w:rPr>
          <w:rFonts w:eastAsia="HiraMinPro-W3"/>
          <w:b/>
        </w:rPr>
        <w:t xml:space="preserve">/CGE </w:t>
      </w:r>
      <w:r w:rsidRPr="001307AC">
        <w:t xml:space="preserve">builds on the work by </w:t>
      </w:r>
      <w:r w:rsidRPr="001307AC">
        <w:fldChar w:fldCharType="begin"/>
      </w:r>
      <w:r>
        <w:instrText xml:space="preserve"> ADDIN EN.CITE &lt;EndNote&gt;&lt;Cite AuthorYear="1"&gt;&lt;Author&gt;Fujimori&lt;/Author&gt;&lt;Year&gt;2012&lt;/Year&gt;&lt;RecNum&gt;1&lt;/RecNum&gt;&lt;DisplayText&gt;Fujimori&lt;style face="italic"&gt; et al.&lt;/style&gt; (2012)&lt;/DisplayText&gt;&lt;record&gt;&lt;rec-number&gt;1&lt;/rec-number&gt;&lt;foreign-keys&gt;&lt;key app="EN" db-id="0p222favl9p0zaeepazpesva5rdv0d0tpztt" timestamp="1432014505"&gt;1&lt;/key&gt;&lt;/foreign-keys&gt;&lt;ref-type name="Report"&gt;27&lt;/ref-type&gt;&lt;contributors&gt;&lt;authors&gt;&lt;author&gt;Fujimori, S.&lt;/author&gt;&lt;author&gt;T. Masui&lt;/author&gt;&lt;author&gt;Y. Matsuoka&lt;/author&gt;&lt;/authors&gt;&lt;tertiary-authors&gt;&lt;author&gt;Center for Social and Environmental Systems Research, National Institute Environemntal Studies&lt;/author&gt;&lt;/tertiary-authors&gt;&lt;/contributors&gt;&lt;titles&gt;&lt;title&gt;AIM/CGE [basic] manual&lt;/title&gt;&lt;secondary-title&gt;Discussion paper series&lt;/secondary-title&gt;&lt;/titles&gt;&lt;volume&gt;2012-01&lt;/volume&gt;&lt;dates&gt;&lt;year&gt;2012&lt;/year&gt;&lt;/dates&gt;&lt;publisher&gt;Center for Social and Environmental Systems Research, National Institute Environemntal Studies&lt;/publisher&gt;&lt;urls&gt;&lt;related-urls&gt;&lt;url&gt;http://www.nies.go.jp/social/dp/pdf/2012-01.pdf&lt;/url&gt;&lt;/related-urls&gt;&lt;/urls&gt;&lt;/record&gt;&lt;/Cite&gt;&lt;/EndNote&gt;</w:instrText>
      </w:r>
      <w:r w:rsidRPr="001307AC">
        <w:fldChar w:fldCharType="separate"/>
      </w:r>
      <w:r>
        <w:t>Fujimori</w:t>
      </w:r>
      <w:r w:rsidRPr="00C42AA6">
        <w:rPr>
          <w:i/>
        </w:rPr>
        <w:t xml:space="preserve"> et al.</w:t>
      </w:r>
      <w:r>
        <w:t xml:space="preserve"> (2012)</w:t>
      </w:r>
      <w:r w:rsidRPr="001307AC">
        <w:fldChar w:fldCharType="end"/>
      </w:r>
      <w:r w:rsidRPr="001307AC">
        <w:t xml:space="preserve"> and was recently used in several climate change studies</w:t>
      </w:r>
      <w:r>
        <w:rPr>
          <w:rFonts w:hint="eastAsia"/>
          <w:lang w:eastAsia="ja-JP"/>
        </w:rPr>
        <w:t xml:space="preserve"> (</w:t>
      </w:r>
      <w:r>
        <w:fldChar w:fldCharType="begin"/>
      </w:r>
      <w:r>
        <w:instrText xml:space="preserve"> ADDIN EN.CITE &lt;EndNote&gt;&lt;Cite AuthorYear="1"&gt;&lt;Author&gt;Hasegawa&lt;/Author&gt;&lt;Year&gt;in press&lt;/Year&gt;&lt;RecNum&gt;1526&lt;/RecNum&gt;&lt;DisplayText&gt;Hasegawa&lt;style face="italic"&gt; et al.&lt;/style&gt; (in press)&lt;/DisplayText&gt;&lt;record&gt;&lt;rec-number&gt;1526&lt;/rec-number&gt;&lt;foreign-keys&gt;&lt;key app="EN" db-id="9r95s5dxbwwdv8e0wxppx2eqdewt5ttta229" timestamp="1432002376"&gt;1526&lt;/key&gt;&lt;/foreign-keys&gt;&lt;ref-type name="Journal Article"&gt;17&lt;/ref-type&gt;&lt;contributors&gt;&lt;authors&gt;&lt;author&gt;Hasegawa, Tomoko&lt;/author&gt;&lt;author&gt;Fujimori, Shinichiro&lt;/author&gt;&lt;author&gt;Shin, Yonghee&lt;/author&gt;&lt;author&gt;Tanaka, Akemi&lt;/author&gt;&lt;author&gt;Takahashi, Kiyoshi&lt;/author&gt;&lt;author&gt;Masui, Toshihiko&lt;/author&gt;&lt;/authors&gt;&lt;/contributors&gt;&lt;titles&gt;&lt;title&gt;The Consequence of Climate Mitigation on the Risk of Hunger&lt;/title&gt;&lt;secondary-title&gt;Environmental Science &amp;amp; Technology&lt;/secondary-title&gt;&lt;/titles&gt;&lt;periodical&gt;&lt;full-title&gt;Environmental Science &amp;amp; Technology&lt;/full-title&gt;&lt;/periodical&gt;&lt;dates&gt;&lt;year&gt;in press&lt;/year&gt;&lt;pub-dates&gt;&lt;date&gt;2015/05/18&lt;/date&gt;&lt;/pub-dates&gt;&lt;/dates&gt;&lt;publisher&gt;American Chemical Society&lt;/publisher&gt;&lt;isbn&gt;0013-936X&lt;/isbn&gt;&lt;urls&gt;&lt;related-urls&gt;&lt;url&gt;http://pubs.acs.org/doi/abs/10.1021/es5051748&lt;/url&gt;&lt;/related-urls&gt;&lt;/urls&gt;&lt;electronic-resource-num&gt;10.1021/es5051748&lt;/electronic-resource-num&gt;&lt;/record&gt;&lt;/Cite&gt;&lt;/EndNote&gt;</w:instrText>
      </w:r>
      <w:r>
        <w:fldChar w:fldCharType="separate"/>
      </w:r>
      <w:r>
        <w:t>Hasegawa</w:t>
      </w:r>
      <w:r w:rsidRPr="00CC1BBA">
        <w:rPr>
          <w:i/>
        </w:rPr>
        <w:t xml:space="preserve"> et al.</w:t>
      </w:r>
      <w:r>
        <w:t xml:space="preserve"> (in press)</w:t>
      </w:r>
      <w:r>
        <w:fldChar w:fldCharType="end"/>
      </w:r>
      <w:r>
        <w:rPr>
          <w:rFonts w:hint="eastAsia"/>
          <w:lang w:eastAsia="ja-JP"/>
        </w:rPr>
        <w:t xml:space="preserve">) </w:t>
      </w:r>
      <w:r w:rsidRPr="00EC3694">
        <w:t xml:space="preserve"> In the model, supply, demand, investment, and trade are described by individual behavioral functions that respond to changes in the prices of production factors and commodities, as well as changes in technology and preference parameters</w:t>
      </w:r>
      <w:r w:rsidRPr="00EC3694">
        <w:rPr>
          <w:rFonts w:eastAsia="HiraMinPro-W3"/>
        </w:rPr>
        <w:t xml:space="preserve"> on the basis of assumed population, GDP, and consumer preferences</w:t>
      </w:r>
      <w:r>
        <w:t>.</w:t>
      </w:r>
      <w:r>
        <w:rPr>
          <w:rFonts w:hint="eastAsia"/>
          <w:lang w:eastAsia="ja-JP"/>
        </w:rPr>
        <w:t xml:space="preserve"> </w:t>
      </w:r>
      <w:r w:rsidRPr="00EC3694">
        <w:t xml:space="preserve">Production functions are formulated as multi-nested constant elasticity substitution (CES) functions. Household demand is formulated as a linear expenditure system function. For trade, substitution between domestic and imported commodities is based on the Armington assumption, and the CES function is used for the aggregation of domestic and imported commodities. Disaggregation between exports and domestic supply is described by a constant elasticity transformation function. A single international trade market is assumed for each traded commodity. </w:t>
      </w:r>
      <w:r w:rsidRPr="00EC3694">
        <w:rPr>
          <w:rFonts w:eastAsia="HiraMinPro-W3"/>
        </w:rPr>
        <w:t xml:space="preserve">The model incorporates the following five mechanisms for </w:t>
      </w:r>
      <w:r w:rsidRPr="00EC3694">
        <w:rPr>
          <w:rStyle w:val="AnyStyle"/>
          <w:rFonts w:eastAsia="HiraMinPro-W3"/>
        </w:rPr>
        <w:t>GHG</w:t>
      </w:r>
      <w:r w:rsidRPr="00EC3694">
        <w:rPr>
          <w:rFonts w:eastAsia="HiraMinPro-W3"/>
        </w:rPr>
        <w:t xml:space="preserve"> emission reductions: (1) substitution of energy with capital, caused by increased energy costs due to carbon prices; (2) bioenergy production; (3) power production by wind, solar and geothermal energy; (4) use of carbon capture and storage technology; and (5) measures to abate </w:t>
      </w:r>
      <w:r w:rsidRPr="00EC3694">
        <w:rPr>
          <w:rStyle w:val="AnyStyle"/>
          <w:rFonts w:eastAsia="HiraMinPro-W3"/>
        </w:rPr>
        <w:t>GHG</w:t>
      </w:r>
      <w:r w:rsidRPr="00EC3694">
        <w:rPr>
          <w:rFonts w:eastAsia="HiraMinPro-W3"/>
        </w:rPr>
        <w:t xml:space="preserve"> emissions from non-energy sources. Possible feedstocks for ligno-cellulosic bioenergy would include crop residues, but also purpose-grown grasses (e.g., miscanthus, switchgrass).</w:t>
      </w:r>
      <w:r w:rsidRPr="00EC3694">
        <w:t xml:space="preserve"> </w:t>
      </w:r>
      <w:r w:rsidRPr="00EC3694">
        <w:rPr>
          <w:rFonts w:eastAsia="MS Gothic"/>
        </w:rPr>
        <w:t>Allocation of land by sector is formulated as a multi-nominal logit function</w:t>
      </w:r>
      <w:r w:rsidR="001E68C9">
        <w:rPr>
          <w:rFonts w:eastAsia="MS Gothic"/>
        </w:rPr>
        <w:t xml:space="preserve"> </w:t>
      </w:r>
      <w:r w:rsidRPr="00EC3694">
        <w:rPr>
          <w:rFonts w:eastAsia="MS Gothic"/>
        </w:rPr>
        <w:fldChar w:fldCharType="begin"/>
      </w:r>
      <w:r>
        <w:rPr>
          <w:rFonts w:eastAsia="MS Gothic"/>
        </w:rPr>
        <w:instrText xml:space="preserve"> ADDIN EN.CITE &lt;EndNote&gt;&lt;Cite&gt;&lt;Author&gt;Fujimori&lt;/Author&gt;&lt;Year&gt;2014&lt;/Year&gt;&lt;RecNum&gt;1474&lt;/RecNum&gt;&lt;DisplayText&gt;(Fujimori&lt;style face="italic"&gt; et al.&lt;/style&gt; 2014)&lt;/DisplayText&gt;&lt;record&gt;&lt;rec-number&gt;1474&lt;/rec-number&gt;&lt;foreign-keys&gt;&lt;key app="EN" db-id="9r95s5dxbwwdv8e0wxppx2eqdewt5ttta229" timestamp="1408931643"&gt;1474&lt;/key&gt;&lt;/foreign-keys&gt;&lt;ref-type name="Journal Article"&gt;17&lt;/ref-type&gt;&lt;contributors&gt;&lt;authors&gt;&lt;author&gt;Shinichiro Fujimori&lt;/author&gt;&lt;author&gt;Tomoko Hasegawa&lt;/author&gt;&lt;author&gt;Toshihiko Masui&lt;/author&gt;&lt;author&gt;Kiyoshi Takahashi&lt;/author&gt;&lt;/authors&gt;&lt;/contributors&gt;&lt;titles&gt;&lt;title&gt;Land use representation in a global CGE model for long-term simulation: CET vs. logit functions&lt;/title&gt;&lt;secondary-title&gt;Food Security&lt;/secondary-title&gt;&lt;/titles&gt;&lt;periodical&gt;&lt;full-title&gt;Food Security&lt;/full-title&gt;&lt;abbr-1&gt;Food Sec.&lt;/abbr-1&gt;&lt;/periodical&gt;&lt;pages&gt;685-699&lt;/pages&gt;&lt;volume&gt;6&lt;/volume&gt;&lt;number&gt;5&lt;/number&gt;&lt;dates&gt;&lt;year&gt;2014&lt;/year&gt;&lt;/dates&gt;&lt;urls&gt;&lt;/urls&gt;&lt;electronic-resource-num&gt;10.1007/s12571-014-0375-z&lt;/electronic-resource-num&gt;&lt;/record&gt;&lt;/Cite&gt;&lt;/EndNote&gt;</w:instrText>
      </w:r>
      <w:r w:rsidRPr="00EC3694">
        <w:rPr>
          <w:rFonts w:eastAsia="MS Gothic"/>
        </w:rPr>
        <w:fldChar w:fldCharType="separate"/>
      </w:r>
      <w:r>
        <w:rPr>
          <w:rFonts w:eastAsia="MS Gothic"/>
        </w:rPr>
        <w:t>(Fujimori</w:t>
      </w:r>
      <w:r w:rsidRPr="00C42AA6">
        <w:rPr>
          <w:rFonts w:eastAsia="MS Gothic"/>
          <w:i/>
        </w:rPr>
        <w:t xml:space="preserve"> et al.</w:t>
      </w:r>
      <w:r>
        <w:rPr>
          <w:rFonts w:eastAsia="MS Gothic"/>
        </w:rPr>
        <w:t xml:space="preserve"> 2014)</w:t>
      </w:r>
      <w:r w:rsidRPr="00EC3694">
        <w:rPr>
          <w:rFonts w:eastAsia="MS Gothic"/>
        </w:rPr>
        <w:fldChar w:fldCharType="end"/>
      </w:r>
      <w:r w:rsidRPr="00EC3694">
        <w:rPr>
          <w:rFonts w:eastAsia="MS Gothic"/>
        </w:rPr>
        <w:t xml:space="preserve"> to reflect differences in substitutability across land categories with land rent. </w:t>
      </w:r>
      <w:r w:rsidRPr="003B5EA9">
        <w:rPr>
          <w:rFonts w:ascii="Times New Roman" w:hAnsi="Times New Roman"/>
        </w:rPr>
        <w:t xml:space="preserve">The model contains </w:t>
      </w:r>
      <w:r w:rsidRPr="003B5EA9">
        <w:rPr>
          <w:rFonts w:ascii="Times New Roman" w:eastAsia="HiraMinPro-W3" w:hAnsi="Times New Roman"/>
        </w:rPr>
        <w:t>17 regions and countries and 42 sectors, including 10 agricultural ones</w:t>
      </w:r>
    </w:p>
    <w:p w14:paraId="110E9FD4" w14:textId="6F4CEBC7" w:rsidR="00B613EC" w:rsidRDefault="00B613EC" w:rsidP="00B613EC">
      <w:pPr>
        <w:spacing w:after="0"/>
        <w:jc w:val="both"/>
        <w:rPr>
          <w:rFonts w:ascii="Calibri" w:hAnsi="Calibri" w:cs="Calibri"/>
          <w:color w:val="000000"/>
          <w:lang w:eastAsia="ja-JP"/>
        </w:rPr>
      </w:pPr>
      <w:r>
        <w:rPr>
          <w:rFonts w:ascii="Calibri" w:hAnsi="Calibri" w:cs="Calibri"/>
          <w:b/>
          <w:i/>
          <w:color w:val="000000"/>
          <w:lang w:eastAsia="ja-JP"/>
        </w:rPr>
        <w:lastRenderedPageBreak/>
        <w:t>MESSAGE-GLOBIOM</w:t>
      </w:r>
      <w:r>
        <w:rPr>
          <w:rFonts w:ascii="Calibri" w:hAnsi="Calibri" w:cs="Calibri"/>
          <w:b/>
          <w:color w:val="000000"/>
          <w:lang w:eastAsia="ja-JP"/>
        </w:rPr>
        <w:t xml:space="preserve">. </w:t>
      </w:r>
      <w:r w:rsidRPr="001307AC">
        <w:rPr>
          <w:rFonts w:ascii="Calibri" w:hAnsi="Calibri" w:cs="Calibri"/>
          <w:color w:val="000000"/>
          <w:lang w:eastAsia="ja-JP"/>
        </w:rPr>
        <w:t>The Global Biosphere Optimization Model (GLOBIOM</w:t>
      </w:r>
      <w:r>
        <w:rPr>
          <w:rFonts w:ascii="Calibri" w:hAnsi="Calibri" w:cs="Calibri"/>
          <w:color w:val="000000"/>
          <w:lang w:eastAsia="ja-JP"/>
        </w:rPr>
        <w:t xml:space="preserve">, </w:t>
      </w:r>
      <w:r w:rsidRPr="005011CA">
        <w:rPr>
          <w:rFonts w:ascii="Calibri" w:hAnsi="Calibri" w:cs="Calibri"/>
          <w:color w:val="000000"/>
          <w:lang w:eastAsia="ja-JP"/>
        </w:rPr>
        <w:t xml:space="preserve">Havlík et al. </w:t>
      </w:r>
      <w:r w:rsidR="00714490">
        <w:rPr>
          <w:rFonts w:ascii="Calibri" w:hAnsi="Calibri" w:cs="Calibri"/>
          <w:color w:val="000000"/>
          <w:lang w:eastAsia="ja-JP"/>
        </w:rPr>
        <w:t>(</w:t>
      </w:r>
      <w:r w:rsidRPr="005011CA">
        <w:rPr>
          <w:rFonts w:ascii="Calibri" w:hAnsi="Calibri" w:cs="Calibri"/>
          <w:color w:val="000000"/>
          <w:lang w:eastAsia="ja-JP"/>
        </w:rPr>
        <w:t>2014)</w:t>
      </w:r>
      <w:r w:rsidRPr="001307AC">
        <w:rPr>
          <w:rFonts w:ascii="Calibri" w:hAnsi="Calibri" w:cs="Calibri"/>
          <w:color w:val="000000"/>
          <w:lang w:eastAsia="ja-JP"/>
        </w:rPr>
        <w:t xml:space="preserve">) </w:t>
      </w:r>
      <w:r>
        <w:rPr>
          <w:rFonts w:ascii="Calibri" w:hAnsi="Calibri" w:cs="Calibri"/>
          <w:color w:val="000000"/>
          <w:lang w:eastAsia="ja-JP"/>
        </w:rPr>
        <w:t>is a</w:t>
      </w:r>
      <w:r w:rsidRPr="001307AC">
        <w:rPr>
          <w:rFonts w:ascii="Calibri" w:hAnsi="Calibri" w:cs="Calibri"/>
          <w:color w:val="000000"/>
          <w:lang w:eastAsia="ja-JP"/>
        </w:rPr>
        <w:t xml:space="preserve"> partial-equilibrium model </w:t>
      </w:r>
      <w:r>
        <w:rPr>
          <w:rFonts w:ascii="Calibri" w:hAnsi="Calibri" w:cs="Calibri"/>
          <w:color w:val="000000"/>
          <w:lang w:eastAsia="ja-JP"/>
        </w:rPr>
        <w:t xml:space="preserve">which </w:t>
      </w:r>
      <w:r w:rsidRPr="001307AC">
        <w:rPr>
          <w:rFonts w:ascii="Calibri" w:hAnsi="Calibri" w:cs="Calibri"/>
          <w:color w:val="000000"/>
          <w:lang w:eastAsia="ja-JP"/>
        </w:rPr>
        <w:t>represents various land-use based activities, including agriculture, forestry and bioenergy sectors. The model is built following a bottom-up setting based on detailed grid-cell information, providing the biophysical and technical cost information. This detailed structure allows taking into account a rich set of environmental parameters. Its spatial equilibrium modelling approach represents bilateral trade based on cost competitiveness. The model was initially developed mostly for integrated assessment of climate change mitigation policies in land based sectors, including biofuels, and is increasingly being implemented also for agricultural and timber markets foresight, and economic impacts analysis of climate change and adaptation.</w:t>
      </w:r>
      <w:r>
        <w:rPr>
          <w:rFonts w:ascii="Calibri" w:hAnsi="Calibri" w:cs="Calibri"/>
          <w:color w:val="000000"/>
          <w:lang w:eastAsia="ja-JP"/>
        </w:rPr>
        <w:t xml:space="preserve"> Three sources of lignucellulosic biomas for energy production are considered: short rotation tree plantations, managed forests and forest industry residues. For a comprehensive AFOLU assessment, GLOBIOM is coupled with the G4M model (Kindermann et al. 2006).</w:t>
      </w:r>
      <w:r w:rsidRPr="006C69EC">
        <w:t xml:space="preserve"> </w:t>
      </w:r>
      <w:r w:rsidR="00714490">
        <w:rPr>
          <w:rFonts w:ascii="Calibri" w:hAnsi="Calibri" w:cs="Calibri"/>
          <w:color w:val="000000"/>
          <w:lang w:eastAsia="ja-JP"/>
        </w:rPr>
        <w:t xml:space="preserve">The Global Forest Model (G4M) </w:t>
      </w:r>
      <w:r w:rsidRPr="006C69EC">
        <w:rPr>
          <w:rFonts w:ascii="Calibri" w:hAnsi="Calibri" w:cs="Calibri"/>
          <w:color w:val="000000"/>
          <w:lang w:eastAsia="ja-JP"/>
        </w:rPr>
        <w:t xml:space="preserve">estimates the impact of forestry activities (afforestation, deforestation and forest management) on biomass and carbon stocks. The main forest management options considered by G4M are variation of thinning and choice of rotation length. As outputs, G4M produces estimates of forest area change, carbon sequestration and emissions in forests. </w:t>
      </w:r>
      <w:r>
        <w:rPr>
          <w:rFonts w:ascii="Calibri" w:hAnsi="Calibri" w:cs="Calibri"/>
          <w:color w:val="000000"/>
          <w:lang w:eastAsia="ja-JP"/>
        </w:rPr>
        <w:t>In this study, direct emissions from agriculture and other land use are provided by GLOBIOM while emissions from afforestation, deforestation and forest management are provided by G4M. A reduced form of GLOBIOM/G4M is emulated through two dimensional scenarios along CO2 prices and biomass demand levels for each SSP. This reduced form of GLOBIOM/G4M is then integrated in MESSAGE to estimate the competitive mitigation efforts required from the AFOLU sector as well as the amount of biomass for energy production. Finally, the CO2 prices and biomass demand compatible with alertnative RCPs is fed back from MESSAGE to GLOBIOM which generates the final LU related projections.</w:t>
      </w:r>
    </w:p>
    <w:p w14:paraId="76B9FED5" w14:textId="7D26F51D" w:rsidR="00B613EC" w:rsidRPr="00B613EC" w:rsidRDefault="00B613EC" w:rsidP="00B613EC">
      <w:pPr>
        <w:rPr>
          <w:sz w:val="24"/>
          <w:szCs w:val="24"/>
        </w:rPr>
      </w:pPr>
    </w:p>
    <w:p w14:paraId="3F44BBE9" w14:textId="7FA92F78" w:rsidR="00B613EC" w:rsidRPr="00714490" w:rsidRDefault="00B613EC" w:rsidP="00B613EC">
      <w:pPr>
        <w:rPr>
          <w:sz w:val="24"/>
          <w:szCs w:val="24"/>
          <w:lang w:val="de-DE"/>
        </w:rPr>
      </w:pPr>
      <w:r w:rsidRPr="00714490">
        <w:rPr>
          <w:sz w:val="24"/>
          <w:szCs w:val="24"/>
          <w:lang w:val="de-DE"/>
        </w:rPr>
        <w:t>References</w:t>
      </w:r>
    </w:p>
    <w:p w14:paraId="1B65999F" w14:textId="77777777" w:rsidR="00B613EC" w:rsidRDefault="00B613EC" w:rsidP="00714490">
      <w:pPr>
        <w:spacing w:after="120"/>
      </w:pPr>
      <w:r w:rsidRPr="000F256B">
        <w:rPr>
          <w:lang w:val="de-DE"/>
        </w:rPr>
        <w:t xml:space="preserve">Bondeau, A., Smith, P.C., Zaehle, S., Schaphoff, S., Lucht, W., Cramer, W., Gerten, D., Lotze-Campen, H., Müller, C., Reichstein, M., Smith, B., 2007. </w:t>
      </w:r>
      <w:r>
        <w:t>Modelling the role of agriculture for the 20th century global terrestrial carbon balance. Glob. Change Biol. 13, 679–706.</w:t>
      </w:r>
    </w:p>
    <w:p w14:paraId="725978E1" w14:textId="567FC145" w:rsidR="001E68C9" w:rsidRDefault="001E68C9" w:rsidP="00714490">
      <w:pPr>
        <w:spacing w:after="120"/>
      </w:pPr>
      <w:r w:rsidRPr="001E68C9">
        <w:t>Calvin, K. et al., 2016. SSP4:  A World of Inequality.  Global Environ. Change, this Special Issue.</w:t>
      </w:r>
    </w:p>
    <w:p w14:paraId="5F7D325D" w14:textId="30BF4D91" w:rsidR="001E68C9" w:rsidRDefault="001E68C9" w:rsidP="00714490">
      <w:pPr>
        <w:spacing w:after="120"/>
      </w:pPr>
      <w:r w:rsidRPr="001E68C9">
        <w:t>Fricko et al. 2016. SSP2: A middle of the road scenario for the 21st century. Global Environ. Change, this Special Issue.</w:t>
      </w:r>
    </w:p>
    <w:p w14:paraId="23C32322" w14:textId="77777777" w:rsidR="00B613EC" w:rsidRPr="00B613EC" w:rsidRDefault="00B613EC" w:rsidP="00714490">
      <w:pPr>
        <w:spacing w:after="120"/>
      </w:pPr>
      <w:r w:rsidRPr="000F256B">
        <w:rPr>
          <w:lang w:val="x-none"/>
        </w:rPr>
        <w:t xml:space="preserve">Fujimori S, Masui T and Matsuoka Y. 2012. AIM/CGE [basic] manual Discussion paper series (Vol. 2012-01), Center for Social and Environmental Systems Research, National Institute Environemntal Studies. Retrieved from: </w:t>
      </w:r>
      <w:hyperlink r:id="rId8" w:history="1">
        <w:r w:rsidRPr="00AB19CE">
          <w:rPr>
            <w:rStyle w:val="Hyperlink"/>
            <w:lang w:val="x-none"/>
          </w:rPr>
          <w:t>http://www.nies.go.jp/social/dp/pdf/2012-01.pdf</w:t>
        </w:r>
      </w:hyperlink>
      <w:r w:rsidRPr="000F256B">
        <w:rPr>
          <w:lang w:val="x-none"/>
        </w:rPr>
        <w:t>.</w:t>
      </w:r>
    </w:p>
    <w:p w14:paraId="102795F0" w14:textId="77777777" w:rsidR="00B613EC" w:rsidRDefault="00B613EC" w:rsidP="00714490">
      <w:pPr>
        <w:spacing w:after="120"/>
      </w:pPr>
      <w:r w:rsidRPr="000F256B">
        <w:t>Fujimori S, Hasegawa T, Masui T and Takahashi K 2014 Land use representation in a global CGE model for long-term simulation: CET vs. logit functions Food Sec. 6, 5, 685-99.</w:t>
      </w:r>
    </w:p>
    <w:p w14:paraId="20C954F6" w14:textId="16CC3526" w:rsidR="001E68C9" w:rsidRPr="000F256B" w:rsidRDefault="001E68C9" w:rsidP="00714490">
      <w:pPr>
        <w:spacing w:after="120"/>
      </w:pPr>
      <w:r w:rsidRPr="001E68C9">
        <w:t>Fujimori, S. et al. 2016 Global Environ. Change, SSP3: AIM Implementation of Shared Socioeconomic Pathways, this Special Issue.</w:t>
      </w:r>
    </w:p>
    <w:p w14:paraId="59AFCFB5" w14:textId="77777777" w:rsidR="00B613EC" w:rsidRDefault="00B613EC" w:rsidP="00714490">
      <w:pPr>
        <w:spacing w:after="120"/>
      </w:pPr>
      <w:r w:rsidRPr="000F256B">
        <w:lastRenderedPageBreak/>
        <w:t>Hasegawa T, Fujimori S, Shin Y, Tanaka A, Takahashi K and Masui T in press Consequence of Climate Mitigation on the Risk of Hunger Environmental Science &amp; Technology.</w:t>
      </w:r>
    </w:p>
    <w:p w14:paraId="2207BDC0" w14:textId="52B40158" w:rsidR="00714490" w:rsidRPr="00F77EA1" w:rsidRDefault="00714490" w:rsidP="00714490">
      <w:pPr>
        <w:spacing w:after="120"/>
      </w:pPr>
      <w:r w:rsidRPr="00714490">
        <w:t xml:space="preserve">Havlík, P., Valin, H., Herrero, M., Obersteiner, M., Schmid, E., Rufino, M.C., Mosnier, A., Thornton, P.K., Böttcher, H., Conant, R.T., Frank, S., Fritz, S., Fuss, S., Kraxner, F., Notenbaert, A., 2014. Climate change mitigation through livestock system transitions. Proc. Natl. </w:t>
      </w:r>
      <w:r w:rsidRPr="00F77EA1">
        <w:t>Acad. Sci. 111, 3709–3714. doi:10.1073/pnas.1308044111</w:t>
      </w:r>
    </w:p>
    <w:p w14:paraId="14938582" w14:textId="69C5513F" w:rsidR="00714490" w:rsidRDefault="00714490" w:rsidP="00714490">
      <w:pPr>
        <w:spacing w:after="120"/>
      </w:pPr>
      <w:r w:rsidRPr="00714490">
        <w:rPr>
          <w:lang w:val="de-DE"/>
        </w:rPr>
        <w:t xml:space="preserve">Kindermann, G.E., Obersteiner, M., Rametsteiner, E., McCallum, I., 2006. </w:t>
      </w:r>
      <w:r w:rsidRPr="00714490">
        <w:t>Predicting the deforestation-trend under different carbon-prices. Carbon Balance Manag. 1, 15. doi:10.1186/1750-0680-1-15</w:t>
      </w:r>
    </w:p>
    <w:p w14:paraId="0B958B12" w14:textId="106DC277" w:rsidR="001E68C9" w:rsidRPr="000F256B" w:rsidRDefault="001E68C9" w:rsidP="00714490">
      <w:pPr>
        <w:spacing w:after="120"/>
      </w:pPr>
      <w:r w:rsidRPr="001E68C9">
        <w:t>Kriegler, E. et al 2016. Fossil-fueled development (SSP5): an emission, energy and resource intensive reference scenario for the 21st century, Global Environ. Change, this Special Issue</w:t>
      </w:r>
    </w:p>
    <w:p w14:paraId="48C04372" w14:textId="77777777" w:rsidR="00B613EC" w:rsidRDefault="00B613EC" w:rsidP="00714490">
      <w:pPr>
        <w:spacing w:after="120"/>
      </w:pPr>
      <w:r w:rsidRPr="00D510D4">
        <w:t>Lotze-Campen, H., Müller, C., Bondeau, A., Rost, S., Popp, A., Lucht, W., 2008. Global food demand, productivity growth, and the scarcity of land and water resources: a spatially explicit mathematical programming approach. Agric. Econ. 39, 325–338.</w:t>
      </w:r>
    </w:p>
    <w:p w14:paraId="12E84D73" w14:textId="77777777" w:rsidR="00B613EC" w:rsidRDefault="00B613EC" w:rsidP="00714490">
      <w:pPr>
        <w:spacing w:after="120"/>
      </w:pPr>
      <w:r w:rsidRPr="00B613EC">
        <w:t xml:space="preserve">Luderer, G., Leimbach, M., Bauer, N., Kriegler, E., Aboumahboub, T., Arroyo Curras, T., Baumstark, L., </w:t>
      </w:r>
      <w:r>
        <w:t xml:space="preserve"> B</w:t>
      </w:r>
      <w:r w:rsidRPr="00B613EC">
        <w:t>ertram, C., Giannousakis, A., Hilaire, J., Klein, D., Mouratiadou, I., Pietzcker, R., Piontek, F., Roming, N., Schultes, A., Schwanitz, V.J., Strefler, J., 2013a. Description of the REMIND  model  (Version 1.5). Potsdam Institute for Climate Impact Research, Potsdam, Germany.</w:t>
      </w:r>
    </w:p>
    <w:p w14:paraId="74EFF0DE" w14:textId="77777777" w:rsidR="00B613EC" w:rsidRDefault="00B613EC" w:rsidP="00714490">
      <w:pPr>
        <w:spacing w:after="120"/>
      </w:pPr>
      <w:r>
        <w:t>Popp, A., Humpenöder, F., Weindl, I., Bodirsky, B.L., Bonsch, M., Lotze-Campen, H., Müller, C., Biewald, A., Rolinski, S., Stevanovic, M., Dietrich, J.P., 2014. Land-use protection for climate change mitigation. Nat. Clim. Change 4, 1095–1098.</w:t>
      </w:r>
    </w:p>
    <w:p w14:paraId="4C838EBF" w14:textId="028091EA" w:rsidR="00714490" w:rsidRDefault="00714490" w:rsidP="00714490">
      <w:pPr>
        <w:spacing w:after="120"/>
      </w:pPr>
      <w:r w:rsidRPr="00714490">
        <w:t xml:space="preserve">Stehfest, E., van Vuuren, D., Kram, T., Bouwman, L., Alkemade, R., Bakkenes, M., Biemans, H., Bouwman, A., den Elzen, M., Janse, J., Lucas, P., van Minnen, J., Müller, M., Prins, A. (2014), </w:t>
      </w:r>
      <w:r>
        <w:t>Integrated Assessment of Global Environmental Change with IMAGE 3.0. Model description and policy applications, The Hague: PBL Netherlands Environmental Assessment Agency.</w:t>
      </w:r>
    </w:p>
    <w:p w14:paraId="2D3504A1" w14:textId="08BD0816" w:rsidR="001E68C9" w:rsidRDefault="001E68C9" w:rsidP="00714490">
      <w:pPr>
        <w:spacing w:after="120"/>
      </w:pPr>
      <w:r w:rsidRPr="001E68C9">
        <w:t xml:space="preserve">van Vuuren, D.P. et al, </w:t>
      </w:r>
      <w:r>
        <w:t>(</w:t>
      </w:r>
      <w:r w:rsidRPr="001E68C9">
        <w:t>2016) Energy, land-use and greenhouse gas emissions trajectories under a green growth paradigm. Global Environ. Change, this Special Issue</w:t>
      </w:r>
    </w:p>
    <w:p w14:paraId="6AC63011" w14:textId="7642E456" w:rsidR="00714490" w:rsidRDefault="00714490" w:rsidP="00714490">
      <w:pPr>
        <w:spacing w:after="120"/>
      </w:pPr>
      <w:r w:rsidRPr="00F77EA1">
        <w:rPr>
          <w:lang w:val="de-DE"/>
        </w:rPr>
        <w:t xml:space="preserve">van Vuuren, D.P., van Vliet, J., Stehfest, E., 2009. </w:t>
      </w:r>
      <w:r w:rsidRPr="00714490">
        <w:t xml:space="preserve">Future bio-energy potential under various natural constraints. Energy Policy 37, 4220–4230. </w:t>
      </w:r>
      <w:r>
        <w:t>doi:10.1016/j.enpol.2009.05.029</w:t>
      </w:r>
    </w:p>
    <w:p w14:paraId="26B969B6" w14:textId="2E1C7C7A" w:rsidR="00714490" w:rsidRDefault="00714490" w:rsidP="00714490">
      <w:pPr>
        <w:spacing w:after="120"/>
      </w:pPr>
      <w:r>
        <w:t>Wise, M., Calvin, K. V., Kyle, G. P., Luckow, P., and Edmonds, J. A. (2014) Economic and physical modeling of land use in GCAM 3.0 and an application to agricultural productivity, land, and terrestrial carbon, Climate Change Economics, 5, 1450003, doi:10.1142/S2010007814500031, 2014.</w:t>
      </w:r>
    </w:p>
    <w:p w14:paraId="33F8686A" w14:textId="77777777" w:rsidR="00B613EC" w:rsidRDefault="00B613EC" w:rsidP="00714490">
      <w:pPr>
        <w:spacing w:after="120"/>
      </w:pPr>
      <w:r>
        <w:t>Woltjer GB, Kuiper M, Kavallari A, van Meijl H, Powell J, Rutten M, Shutes L and Tabeau A (2014). The Magnet Model – Module description. LEI, part of Wageningen University and Research Centre, The Hague.</w:t>
      </w:r>
    </w:p>
    <w:p w14:paraId="21538016" w14:textId="77777777" w:rsidR="00B613EC" w:rsidRPr="00B613EC" w:rsidRDefault="00B613EC" w:rsidP="00B613EC">
      <w:pPr>
        <w:rPr>
          <w:sz w:val="24"/>
          <w:szCs w:val="24"/>
        </w:rPr>
      </w:pPr>
    </w:p>
    <w:p w14:paraId="24FECE08" w14:textId="77777777" w:rsidR="00B249B1" w:rsidRDefault="00B249B1">
      <w:pPr>
        <w:rPr>
          <w:b/>
          <w:sz w:val="24"/>
          <w:szCs w:val="24"/>
        </w:rPr>
      </w:pPr>
      <w:r>
        <w:rPr>
          <w:b/>
          <w:sz w:val="24"/>
          <w:szCs w:val="24"/>
        </w:rPr>
        <w:br w:type="page"/>
      </w:r>
    </w:p>
    <w:p w14:paraId="2525A82F" w14:textId="0C4DF00D" w:rsidR="007B433F" w:rsidRPr="00B613EC" w:rsidRDefault="007B506D" w:rsidP="00B613EC">
      <w:pPr>
        <w:rPr>
          <w:b/>
          <w:sz w:val="24"/>
          <w:szCs w:val="24"/>
        </w:rPr>
      </w:pPr>
      <w:r>
        <w:rPr>
          <w:b/>
          <w:sz w:val="24"/>
          <w:szCs w:val="24"/>
        </w:rPr>
        <w:lastRenderedPageBreak/>
        <w:t>2</w:t>
      </w:r>
      <w:r w:rsidR="00B613EC" w:rsidRPr="00B613EC">
        <w:rPr>
          <w:b/>
          <w:sz w:val="24"/>
          <w:szCs w:val="24"/>
        </w:rPr>
        <w:t>. Additional results</w:t>
      </w:r>
    </w:p>
    <w:p w14:paraId="61C99D69" w14:textId="7971727A" w:rsidR="00F4489D" w:rsidRDefault="00F4489D" w:rsidP="007B433F">
      <w:pPr>
        <w:jc w:val="center"/>
      </w:pPr>
      <w:r>
        <w:rPr>
          <w:noProof/>
        </w:rPr>
        <w:drawing>
          <wp:inline distT="0" distB="0" distL="0" distR="0" wp14:anchorId="1041B84C" wp14:editId="4E4329B3">
            <wp:extent cx="5943600" cy="3960908"/>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_reg_stack.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960908"/>
                    </a:xfrm>
                    <a:prstGeom prst="rect">
                      <a:avLst/>
                    </a:prstGeom>
                  </pic:spPr>
                </pic:pic>
              </a:graphicData>
            </a:graphic>
          </wp:inline>
        </w:drawing>
      </w:r>
    </w:p>
    <w:p w14:paraId="3100AB0A" w14:textId="77777777" w:rsidR="007B433F" w:rsidRDefault="007B433F" w:rsidP="007B433F">
      <w:r>
        <w:t>Fig SI1: Regional population dynamics of the five SSP marker scenarios (based on Lutz et al. 2014). Data is shown are for five aggregate regions: (1) OECD90 countries (OECD), (2) reforming economies of Eastern Europe and the Former Soviet Union (REF), (3) countries of the Middle East and Africa (MAF), (4) countries of Latin America and the Caribbean (LAM) and (5) Asian countries with the exception of the Middle East, Japan and Former Soviet Union states (ASIA).</w:t>
      </w:r>
    </w:p>
    <w:p w14:paraId="01AE721B" w14:textId="77777777" w:rsidR="007B433F" w:rsidRDefault="007B433F" w:rsidP="007B433F"/>
    <w:p w14:paraId="5D9D52DC" w14:textId="1623EF23" w:rsidR="00E42487" w:rsidRDefault="00E42487" w:rsidP="007B433F">
      <w:pPr>
        <w:jc w:val="center"/>
      </w:pPr>
    </w:p>
    <w:p w14:paraId="1B971774" w14:textId="376294BE" w:rsidR="009A1CD6" w:rsidRDefault="009A1CD6" w:rsidP="007B433F">
      <w:pPr>
        <w:jc w:val="center"/>
      </w:pPr>
    </w:p>
    <w:p w14:paraId="188C7075" w14:textId="2E350685" w:rsidR="00FA61E9" w:rsidRDefault="00FA61E9" w:rsidP="007B433F">
      <w:pPr>
        <w:jc w:val="center"/>
      </w:pPr>
    </w:p>
    <w:p w14:paraId="6F5868F7" w14:textId="5F6F9664" w:rsidR="00F4489D" w:rsidRDefault="00F4489D" w:rsidP="007B433F">
      <w:pPr>
        <w:jc w:val="center"/>
      </w:pPr>
      <w:r>
        <w:rPr>
          <w:noProof/>
        </w:rPr>
        <w:lastRenderedPageBreak/>
        <w:drawing>
          <wp:inline distT="0" distB="0" distL="0" distR="0" wp14:anchorId="56E965C6" wp14:editId="1316B442">
            <wp:extent cx="5143351" cy="548804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_cap_dem1_glo_re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43351" cy="5488049"/>
                    </a:xfrm>
                    <a:prstGeom prst="rect">
                      <a:avLst/>
                    </a:prstGeom>
                  </pic:spPr>
                </pic:pic>
              </a:graphicData>
            </a:graphic>
          </wp:inline>
        </w:drawing>
      </w:r>
    </w:p>
    <w:p w14:paraId="25E84E6B" w14:textId="0DC65F9D" w:rsidR="007B433F" w:rsidRDefault="007B433F" w:rsidP="007B433F">
      <w:r>
        <w:t xml:space="preserve">Fig SI2: Global per capita demand [kcal/cap/day] for crop (upper row) and livestock products (lower row) of the five SSP marker scenarios for the </w:t>
      </w:r>
      <w:r w:rsidR="0072447D">
        <w:t xml:space="preserve">baseline </w:t>
      </w:r>
      <w:r>
        <w:t>(left column),</w:t>
      </w:r>
      <w:r w:rsidRPr="00FE7492">
        <w:t xml:space="preserve"> </w:t>
      </w:r>
      <w:r>
        <w:t>RCP</w:t>
      </w:r>
      <w:r w:rsidRPr="00FE7492">
        <w:t>4.5</w:t>
      </w:r>
      <w:r>
        <w:t xml:space="preserve"> (middle column) and RCP2.6 (right column)</w:t>
      </w:r>
      <w:r w:rsidRPr="00FE7492">
        <w:t xml:space="preserve"> </w:t>
      </w:r>
      <w:r>
        <w:t xml:space="preserve">cases. </w:t>
      </w:r>
      <w:r w:rsidR="009373A5">
        <w:rPr>
          <w:sz w:val="20"/>
          <w:szCs w:val="20"/>
        </w:rPr>
        <w:t xml:space="preserve">Colored lines indicate the marker model results for each SSP. </w:t>
      </w:r>
      <w:r w:rsidR="009373A5" w:rsidRPr="00750ECA">
        <w:rPr>
          <w:sz w:val="20"/>
          <w:szCs w:val="20"/>
        </w:rPr>
        <w:t xml:space="preserve">Colored bars indicate the range of data in 2100 across all marker and non-marker projections for </w:t>
      </w:r>
      <w:r w:rsidR="009373A5">
        <w:rPr>
          <w:sz w:val="20"/>
          <w:szCs w:val="20"/>
        </w:rPr>
        <w:t xml:space="preserve">each SSP (models are depicted by icon). </w:t>
      </w:r>
    </w:p>
    <w:p w14:paraId="5C151E69" w14:textId="77777777" w:rsidR="007B433F" w:rsidRDefault="007B433F"/>
    <w:p w14:paraId="313C7D2F" w14:textId="327AE420" w:rsidR="007B433F" w:rsidRDefault="007B433F"/>
    <w:p w14:paraId="69F24FB5" w14:textId="72700B03" w:rsidR="00FE7748" w:rsidRDefault="00FE7748" w:rsidP="00F4489D">
      <w:pPr>
        <w:jc w:val="center"/>
      </w:pPr>
    </w:p>
    <w:p w14:paraId="42250F59" w14:textId="52DCE0EA" w:rsidR="00F4489D" w:rsidRDefault="00F4489D" w:rsidP="00F4489D">
      <w:pPr>
        <w:jc w:val="center"/>
      </w:pPr>
      <w:r>
        <w:rPr>
          <w:noProof/>
        </w:rPr>
        <w:lastRenderedPageBreak/>
        <w:drawing>
          <wp:inline distT="0" distB="0" distL="0" distR="0" wp14:anchorId="7EAD52A3" wp14:editId="2F4740D9">
            <wp:extent cx="5943600" cy="3960908"/>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_reg_stack_Crops.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960908"/>
                    </a:xfrm>
                    <a:prstGeom prst="rect">
                      <a:avLst/>
                    </a:prstGeom>
                  </pic:spPr>
                </pic:pic>
              </a:graphicData>
            </a:graphic>
          </wp:inline>
        </w:drawing>
      </w:r>
    </w:p>
    <w:p w14:paraId="789B4225" w14:textId="1E45408A" w:rsidR="007B433F" w:rsidRDefault="007B433F" w:rsidP="007B433F">
      <w:r>
        <w:t>Fig SI3: Total regional demand for</w:t>
      </w:r>
      <w:r w:rsidR="00714E67">
        <w:t xml:space="preserve"> food and feed</w:t>
      </w:r>
      <w:r>
        <w:t xml:space="preserve"> crops of the five SSP marker scenarios for the </w:t>
      </w:r>
      <w:r w:rsidR="0072447D">
        <w:t xml:space="preserve">baseline </w:t>
      </w:r>
      <w:r>
        <w:t>(upper row),</w:t>
      </w:r>
      <w:r w:rsidRPr="00FE7492">
        <w:t xml:space="preserve"> </w:t>
      </w:r>
      <w:r>
        <w:t>RCP</w:t>
      </w:r>
      <w:r w:rsidRPr="00FE7492">
        <w:t>4.5</w:t>
      </w:r>
      <w:r>
        <w:t xml:space="preserve"> (middle row) and RCP2.6 (lower row)</w:t>
      </w:r>
      <w:r w:rsidRPr="00FE7492">
        <w:t xml:space="preserve"> </w:t>
      </w:r>
      <w:r>
        <w:t>cases. Data is shown are for five aggregate regions: (1) OECD90 countries (OECD), (2) reforming economies of Eastern Europe and the Former Soviet Union (REF), (3) countries of the Middle East and Africa (MAF), (4) countries of Latin America and the Caribbean (LAM) and (5) Asian countries with the exception of the Middle East, Japan and Former Soviet Union states (ASIA).</w:t>
      </w:r>
    </w:p>
    <w:p w14:paraId="77458FFB" w14:textId="77777777" w:rsidR="007B433F" w:rsidRDefault="007B433F" w:rsidP="007B433F"/>
    <w:p w14:paraId="42B18AD7" w14:textId="77777777" w:rsidR="007B433F" w:rsidRDefault="007B433F"/>
    <w:p w14:paraId="30284148" w14:textId="77777777" w:rsidR="007B433F" w:rsidRDefault="007B433F"/>
    <w:p w14:paraId="4F636A93" w14:textId="74EB0E05" w:rsidR="00F4489D" w:rsidRDefault="00F4489D">
      <w:r>
        <w:rPr>
          <w:noProof/>
        </w:rPr>
        <w:drawing>
          <wp:inline distT="0" distB="0" distL="0" distR="0" wp14:anchorId="7885CA2D" wp14:editId="4720EBE9">
            <wp:extent cx="5943600" cy="3960908"/>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_reg_stack_Crops.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960908"/>
                    </a:xfrm>
                    <a:prstGeom prst="rect">
                      <a:avLst/>
                    </a:prstGeom>
                  </pic:spPr>
                </pic:pic>
              </a:graphicData>
            </a:graphic>
          </wp:inline>
        </w:drawing>
      </w:r>
    </w:p>
    <w:p w14:paraId="7C42A06B" w14:textId="339A80C2" w:rsidR="007B433F" w:rsidRDefault="007B433F" w:rsidP="007B433F">
      <w:r>
        <w:t xml:space="preserve">Fig SI4: Regional production for </w:t>
      </w:r>
      <w:r w:rsidR="00714E67">
        <w:t xml:space="preserve">food and feed </w:t>
      </w:r>
      <w:r>
        <w:t xml:space="preserve">crops of the five SSP marker scenarios for the </w:t>
      </w:r>
      <w:r w:rsidR="0072447D">
        <w:t xml:space="preserve">baseline </w:t>
      </w:r>
      <w:r>
        <w:t>(upper row),</w:t>
      </w:r>
      <w:r w:rsidRPr="00FE7492">
        <w:t xml:space="preserve"> </w:t>
      </w:r>
      <w:r>
        <w:t>RCP</w:t>
      </w:r>
      <w:r w:rsidRPr="00FE7492">
        <w:t>4.5</w:t>
      </w:r>
      <w:r>
        <w:t xml:space="preserve"> (middle row) and RCP2.6 (lower row)</w:t>
      </w:r>
      <w:r w:rsidRPr="00FE7492">
        <w:t xml:space="preserve"> </w:t>
      </w:r>
      <w:r>
        <w:t>cases. Data is shown are for five aggregate regions: (1) OECD90 countries (OECD), (2) reforming economies of Eastern Europe and the Former Soviet Union (REF), (3) countries of the Middle East and Africa (MAF), (4) countries of Latin America and the Caribbean (LAM) and (5) Asian countries with the exception of the Middle East, Japan and Former Soviet Union states (ASIA).</w:t>
      </w:r>
    </w:p>
    <w:p w14:paraId="2311136C" w14:textId="77777777" w:rsidR="007B433F" w:rsidRDefault="007B433F"/>
    <w:p w14:paraId="6122D519" w14:textId="77777777" w:rsidR="007B433F" w:rsidRDefault="007B433F"/>
    <w:p w14:paraId="494A4FC5" w14:textId="19DECD22" w:rsidR="00F4489D" w:rsidRDefault="00F4489D" w:rsidP="00F4489D">
      <w:pPr>
        <w:jc w:val="center"/>
      </w:pPr>
      <w:r>
        <w:rPr>
          <w:noProof/>
        </w:rPr>
        <w:drawing>
          <wp:inline distT="0" distB="0" distL="0" distR="0" wp14:anchorId="137043EE" wp14:editId="646E058A">
            <wp:extent cx="5943600" cy="3960908"/>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de_reg_stack_Crops.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960908"/>
                    </a:xfrm>
                    <a:prstGeom prst="rect">
                      <a:avLst/>
                    </a:prstGeom>
                  </pic:spPr>
                </pic:pic>
              </a:graphicData>
            </a:graphic>
          </wp:inline>
        </w:drawing>
      </w:r>
    </w:p>
    <w:p w14:paraId="4FA92A27" w14:textId="36E3DEF7" w:rsidR="007B433F" w:rsidRDefault="007B433F" w:rsidP="007B433F">
      <w:r>
        <w:t xml:space="preserve">Fig SI5: Agricultural net trade of </w:t>
      </w:r>
      <w:r w:rsidR="00714E67">
        <w:t xml:space="preserve">food and feed </w:t>
      </w:r>
      <w:r>
        <w:t xml:space="preserve">crops of the five SSP marker scenarios for the </w:t>
      </w:r>
      <w:r w:rsidR="0072447D">
        <w:t xml:space="preserve">baseline </w:t>
      </w:r>
      <w:r>
        <w:t>(upper row),</w:t>
      </w:r>
      <w:r w:rsidRPr="00FE7492">
        <w:t xml:space="preserve"> </w:t>
      </w:r>
      <w:r>
        <w:t>RCP</w:t>
      </w:r>
      <w:r w:rsidRPr="00FE7492">
        <w:t>4.5</w:t>
      </w:r>
      <w:r>
        <w:t xml:space="preserve"> (middle row) and RCP2.6 (lower row)</w:t>
      </w:r>
      <w:r w:rsidRPr="00FE7492">
        <w:t xml:space="preserve"> </w:t>
      </w:r>
      <w:r>
        <w:t>cases. Data is shown are for five aggregate regions: (1) OECD90 countries (OECD), (2) reforming economies of Eastern Europe and the Former Soviet Union (REF), (3) countries of the Middle East and Africa (MAF), (4) countries of Latin America and the Caribbean (LAM) and (5) Asian countries with the exception of the Middle East, Japan and Former Soviet Union states (ASIA).</w:t>
      </w:r>
    </w:p>
    <w:p w14:paraId="27C2FAFA" w14:textId="77777777" w:rsidR="007B433F" w:rsidRDefault="007B433F"/>
    <w:p w14:paraId="5EED8D9C" w14:textId="753D11DA" w:rsidR="00F4489D" w:rsidRDefault="00F4489D" w:rsidP="00F4489D">
      <w:pPr>
        <w:jc w:val="center"/>
      </w:pPr>
      <w:r>
        <w:rPr>
          <w:noProof/>
        </w:rPr>
        <w:drawing>
          <wp:inline distT="0" distB="0" distL="0" distR="0" wp14:anchorId="42E2D89F" wp14:editId="1DD007AC">
            <wp:extent cx="4541520" cy="3026540"/>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_reg_stack_Livestock.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41520" cy="3026540"/>
                    </a:xfrm>
                    <a:prstGeom prst="rect">
                      <a:avLst/>
                    </a:prstGeom>
                  </pic:spPr>
                </pic:pic>
              </a:graphicData>
            </a:graphic>
          </wp:inline>
        </w:drawing>
      </w:r>
    </w:p>
    <w:p w14:paraId="231E1447" w14:textId="3AD5D08F" w:rsidR="007B433F" w:rsidRDefault="007B433F" w:rsidP="007B433F">
      <w:r>
        <w:t xml:space="preserve">Fig SI6: Regional </w:t>
      </w:r>
      <w:r w:rsidR="00190DD2">
        <w:t>demand</w:t>
      </w:r>
      <w:r>
        <w:t xml:space="preserve"> for livestock products of the five SSP marker scenarios for the </w:t>
      </w:r>
      <w:r w:rsidR="0072447D">
        <w:t xml:space="preserve">baseline </w:t>
      </w:r>
      <w:r>
        <w:t>(upper row),</w:t>
      </w:r>
      <w:r w:rsidRPr="00FE7492">
        <w:t xml:space="preserve"> </w:t>
      </w:r>
      <w:r>
        <w:t>RCP</w:t>
      </w:r>
      <w:r w:rsidRPr="00FE7492">
        <w:t>4.5</w:t>
      </w:r>
      <w:r>
        <w:t xml:space="preserve"> (middle row) and RCP2.6 (lower row)</w:t>
      </w:r>
      <w:r w:rsidRPr="00FE7492">
        <w:t xml:space="preserve"> </w:t>
      </w:r>
      <w:r>
        <w:t>cases. Data is shown are for five aggregate regions: (1) OECD90 countries (OECD), (2) reforming economies of Eastern Europe and the Former Soviet Union (REF), (3) countries of the Middle East and Africa (MAF), (4) countries of Latin America and the Caribbean (LAM) and (5) Asian countries with the exception of the Middle East, Japan and Former Soviet Union states (ASIA).</w:t>
      </w:r>
    </w:p>
    <w:p w14:paraId="53FCB2A5" w14:textId="77777777" w:rsidR="007B433F" w:rsidRDefault="007B433F"/>
    <w:p w14:paraId="205E4F64" w14:textId="77777777" w:rsidR="007B433F" w:rsidRDefault="007B433F"/>
    <w:p w14:paraId="37AECEB9" w14:textId="75DA0FB4" w:rsidR="00F4489D" w:rsidRDefault="00F4489D" w:rsidP="00F4489D">
      <w:pPr>
        <w:jc w:val="center"/>
      </w:pPr>
      <w:r>
        <w:rPr>
          <w:noProof/>
        </w:rPr>
        <w:drawing>
          <wp:inline distT="0" distB="0" distL="0" distR="0" wp14:anchorId="49995A03" wp14:editId="006F4C79">
            <wp:extent cx="4893608" cy="3261177"/>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_reg_stack_Livestoc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93608" cy="3261177"/>
                    </a:xfrm>
                    <a:prstGeom prst="rect">
                      <a:avLst/>
                    </a:prstGeom>
                  </pic:spPr>
                </pic:pic>
              </a:graphicData>
            </a:graphic>
          </wp:inline>
        </w:drawing>
      </w:r>
    </w:p>
    <w:p w14:paraId="0E4AEB37" w14:textId="1B4E4B32" w:rsidR="007B433F" w:rsidRDefault="007B433F" w:rsidP="007B433F">
      <w:r>
        <w:t xml:space="preserve">Fig SI7: Regional production of livestock products of the five SSP marker scenarios for the </w:t>
      </w:r>
      <w:r w:rsidR="0072447D">
        <w:t xml:space="preserve">baseline </w:t>
      </w:r>
      <w:r>
        <w:t>(upper row),</w:t>
      </w:r>
      <w:r w:rsidRPr="00FE7492">
        <w:t xml:space="preserve"> </w:t>
      </w:r>
      <w:r>
        <w:t>RCP</w:t>
      </w:r>
      <w:r w:rsidRPr="00FE7492">
        <w:t>4.5</w:t>
      </w:r>
      <w:r>
        <w:t xml:space="preserve"> (middle row) and RCP2.6 (lower row)</w:t>
      </w:r>
      <w:r w:rsidRPr="00FE7492">
        <w:t xml:space="preserve"> </w:t>
      </w:r>
      <w:r>
        <w:t>cases. Data is shown are for five aggregate regions: (1) OECD90 countries (OECD), (2) reforming economies of Eastern Europe and the Former Soviet Union (REF), (3) countries of the Middle East and Africa (MAF), (4) countries of Latin America and the Caribbean (LAM) and (5) Asian countries with the exception of the Middle East, Japan and Former Soviet Union states (ASIA).</w:t>
      </w:r>
    </w:p>
    <w:p w14:paraId="6B2E5027" w14:textId="77777777" w:rsidR="007B433F" w:rsidRDefault="007B433F"/>
    <w:p w14:paraId="25A7754A" w14:textId="77DEB6DC" w:rsidR="00F4489D" w:rsidRDefault="00F4489D">
      <w:r>
        <w:rPr>
          <w:noProof/>
        </w:rPr>
        <w:drawing>
          <wp:inline distT="0" distB="0" distL="0" distR="0" wp14:anchorId="3619FB60" wp14:editId="25AE9031">
            <wp:extent cx="5943600" cy="3960908"/>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de_reg_stack_Livestock.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3960908"/>
                    </a:xfrm>
                    <a:prstGeom prst="rect">
                      <a:avLst/>
                    </a:prstGeom>
                  </pic:spPr>
                </pic:pic>
              </a:graphicData>
            </a:graphic>
          </wp:inline>
        </w:drawing>
      </w:r>
    </w:p>
    <w:p w14:paraId="45C97253" w14:textId="001C29F0" w:rsidR="007B433F" w:rsidRDefault="007B433F" w:rsidP="007B433F">
      <w:r>
        <w:t xml:space="preserve">Fig SI8: Agricultural net trade of livestock products of the five SSP marker scenarios for the </w:t>
      </w:r>
      <w:r w:rsidR="0072447D">
        <w:t xml:space="preserve">baseline </w:t>
      </w:r>
      <w:r>
        <w:t>(upper row),</w:t>
      </w:r>
      <w:r w:rsidRPr="00FE7492">
        <w:t xml:space="preserve"> </w:t>
      </w:r>
      <w:r>
        <w:t>RCP</w:t>
      </w:r>
      <w:r w:rsidRPr="00FE7492">
        <w:t>4.5</w:t>
      </w:r>
      <w:r>
        <w:t xml:space="preserve"> (middle row) and RCP2.6 (lower row)</w:t>
      </w:r>
      <w:r w:rsidRPr="00FE7492">
        <w:t xml:space="preserve"> </w:t>
      </w:r>
      <w:r>
        <w:t>cases. Data is shown are for five aggregate regions: (1) OECD90 countries (OECD), (2) reforming economies of Eastern Europe and the Former Soviet Union (REF), (3) countries of the Middle East and Africa (MAF), (4) countries of Latin America and the Caribbean (LAM) and (5) Asian countries with the exception of the Middle East, Japan and Former Soviet Union states (ASIA).</w:t>
      </w:r>
    </w:p>
    <w:p w14:paraId="16024A66" w14:textId="228EA708" w:rsidR="00107A39" w:rsidRDefault="00107A39"/>
    <w:p w14:paraId="2B7169F1" w14:textId="40A04256" w:rsidR="00F4489D" w:rsidRDefault="00F4489D">
      <w:r>
        <w:rPr>
          <w:noProof/>
        </w:rPr>
        <w:drawing>
          <wp:inline distT="0" distB="0" distL="0" distR="0" wp14:anchorId="5F1DACF7" wp14:editId="6E5F2B51">
            <wp:extent cx="5943600" cy="3960908"/>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_bio_reg_free.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3960908"/>
                    </a:xfrm>
                    <a:prstGeom prst="rect">
                      <a:avLst/>
                    </a:prstGeom>
                  </pic:spPr>
                </pic:pic>
              </a:graphicData>
            </a:graphic>
          </wp:inline>
        </w:drawing>
      </w:r>
    </w:p>
    <w:p w14:paraId="71BBF1FE" w14:textId="2A8471ED" w:rsidR="007B433F" w:rsidRDefault="007B433F" w:rsidP="007B433F">
      <w:r>
        <w:t>Fig SI9: Regional production of dedicated 2</w:t>
      </w:r>
      <w:r w:rsidRPr="007B433F">
        <w:rPr>
          <w:vertAlign w:val="superscript"/>
        </w:rPr>
        <w:t>nd</w:t>
      </w:r>
      <w:r>
        <w:t xml:space="preserve">  generation bioenergy crops of the five SSP marker scenarios for the </w:t>
      </w:r>
      <w:r w:rsidR="0072447D">
        <w:t xml:space="preserve">baseline </w:t>
      </w:r>
      <w:r>
        <w:t>(upper row),</w:t>
      </w:r>
      <w:r w:rsidRPr="00FE7492">
        <w:t xml:space="preserve"> </w:t>
      </w:r>
      <w:r>
        <w:t>RCP</w:t>
      </w:r>
      <w:r w:rsidRPr="00FE7492">
        <w:t>4.5</w:t>
      </w:r>
      <w:r>
        <w:t xml:space="preserve"> (middle row) and RCP2.6 (lower row)</w:t>
      </w:r>
      <w:r w:rsidRPr="00FE7492">
        <w:t xml:space="preserve"> </w:t>
      </w:r>
      <w:r>
        <w:t>cases. Data is shown are for five aggregate regions: (1) OECD90 countries (OECD), (2) reforming economies of Eastern Europe and the Former Soviet Union (REF), (3) countries of the Middle East and Africa (MAF), (4) countries of Latin America and the Caribbean (LAM) and (5) Asian countries with the exception of the Middle East, Japan and Former Soviet Union states (ASIA).</w:t>
      </w:r>
    </w:p>
    <w:p w14:paraId="523F8B7E" w14:textId="77777777" w:rsidR="007B433F" w:rsidRDefault="007B433F"/>
    <w:p w14:paraId="6AD7421A" w14:textId="77777777" w:rsidR="007B433F" w:rsidRDefault="007B433F"/>
    <w:p w14:paraId="6452981F" w14:textId="6B075E7F" w:rsidR="00107A39" w:rsidRDefault="00107A39"/>
    <w:p w14:paraId="36135DC0" w14:textId="49ADE68E" w:rsidR="00F4489D" w:rsidRDefault="00F4489D">
      <w:r>
        <w:rPr>
          <w:noProof/>
        </w:rPr>
        <w:drawing>
          <wp:inline distT="0" distB="0" distL="0" distR="0" wp14:anchorId="2F72AE9A" wp14:editId="5D8B9928">
            <wp:extent cx="5943600" cy="554974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_reg_stack_abs_Baseline.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5549746"/>
                    </a:xfrm>
                    <a:prstGeom prst="rect">
                      <a:avLst/>
                    </a:prstGeom>
                  </pic:spPr>
                </pic:pic>
              </a:graphicData>
            </a:graphic>
          </wp:inline>
        </w:drawing>
      </w:r>
    </w:p>
    <w:p w14:paraId="7EBBD85B" w14:textId="324B7831" w:rsidR="00E728F5" w:rsidRDefault="00E728F5" w:rsidP="00E728F5">
      <w:r>
        <w:t xml:space="preserve">Fig SI10: Regional land use dynamics of the five SSP marker scenarios for the </w:t>
      </w:r>
      <w:r w:rsidR="0072447D">
        <w:t xml:space="preserve">baseline </w:t>
      </w:r>
      <w:r>
        <w:t>case. Results are shown are for five aggregate regions: (1) OECD90 countries (OECD), (2) reforming economies of Eastern Europe and the Former Soviet Union (REF), (3) countries of the Middle East and Africa (MAF), (4) countries of Latin America and the Caribbean (LAM) and (5) Asian countries with the exception of the Middle East, Japan and Former Soviet Union states (ASIA).</w:t>
      </w:r>
    </w:p>
    <w:p w14:paraId="07681CB0" w14:textId="7FD37227" w:rsidR="007B433F" w:rsidRDefault="007B433F"/>
    <w:p w14:paraId="144EC632" w14:textId="4743EBAB" w:rsidR="00F4489D" w:rsidRDefault="00F4489D">
      <w:r>
        <w:rPr>
          <w:noProof/>
        </w:rPr>
        <w:drawing>
          <wp:inline distT="0" distB="0" distL="0" distR="0" wp14:anchorId="13B4E27B" wp14:editId="0EF5DFDB">
            <wp:extent cx="5943600" cy="554974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_reg_stack_abs_45.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5549746"/>
                    </a:xfrm>
                    <a:prstGeom prst="rect">
                      <a:avLst/>
                    </a:prstGeom>
                  </pic:spPr>
                </pic:pic>
              </a:graphicData>
            </a:graphic>
          </wp:inline>
        </w:drawing>
      </w:r>
    </w:p>
    <w:p w14:paraId="402148B4" w14:textId="77777777" w:rsidR="00E728F5" w:rsidRDefault="00E728F5" w:rsidP="00E728F5">
      <w:r>
        <w:t>Fig SI11: Regional land use dynamics of the five SSP marker scenarios for the RCP4.5</w:t>
      </w:r>
      <w:r w:rsidRPr="00FE7492">
        <w:t xml:space="preserve"> </w:t>
      </w:r>
      <w:r>
        <w:t>case. Results are shown are for five aggregate regions: (1) OECD90 countries (OECD), (2) reforming economies of Eastern Europe and the Former Soviet Union (REF), (3) countries of the Middle East and Africa (MAF), (4) countries of Latin America and the Caribbean (LAM) and (5) Asian countries with the exception of the Middle East, Japan and Former Soviet Union states (ASIA).</w:t>
      </w:r>
    </w:p>
    <w:p w14:paraId="57EF0724" w14:textId="77777777" w:rsidR="007B433F" w:rsidRDefault="007B433F"/>
    <w:p w14:paraId="172782E4" w14:textId="41106079" w:rsidR="00107A39" w:rsidRDefault="00F4489D">
      <w:r>
        <w:rPr>
          <w:noProof/>
        </w:rPr>
        <w:drawing>
          <wp:inline distT="0" distB="0" distL="0" distR="0" wp14:anchorId="2C51D1C2" wp14:editId="76B05125">
            <wp:extent cx="5943600" cy="554974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_reg_stack_abs_26.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5549746"/>
                    </a:xfrm>
                    <a:prstGeom prst="rect">
                      <a:avLst/>
                    </a:prstGeom>
                  </pic:spPr>
                </pic:pic>
              </a:graphicData>
            </a:graphic>
          </wp:inline>
        </w:drawing>
      </w:r>
    </w:p>
    <w:p w14:paraId="65B321D0" w14:textId="77777777" w:rsidR="00E728F5" w:rsidRDefault="00E728F5" w:rsidP="00E728F5">
      <w:r>
        <w:t>Fig SI12: Regional land use dynamics of the five SSP marker scenarios for the RCP2.6 case. Results are shown are for five aggregate regions: (1) OECD90 countries (OECD), (2) reforming economies of Eastern Europe and the Former Soviet Union (REF), (3) countries of the Middle East and Africa (MAF), (4) countries of Latin America and the Caribbean (LAM) and (5) Asian countries with the exception of the Middle East, Japan and Former Soviet Union states (ASIA).</w:t>
      </w:r>
    </w:p>
    <w:p w14:paraId="24250BFF" w14:textId="77777777" w:rsidR="007B433F" w:rsidRDefault="007B433F"/>
    <w:p w14:paraId="1E6D9E5A" w14:textId="5686AA78" w:rsidR="009638A3" w:rsidRDefault="00F4489D" w:rsidP="00F4489D">
      <w:pPr>
        <w:jc w:val="center"/>
      </w:pPr>
      <w:r>
        <w:rPr>
          <w:noProof/>
        </w:rPr>
        <w:drawing>
          <wp:inline distT="0" distB="0" distL="0" distR="0" wp14:anchorId="0746A573" wp14:editId="04E8FDE1">
            <wp:extent cx="4545701" cy="4850346"/>
            <wp:effectExtent l="0" t="0" r="127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d_reg_calc_fixed_Cereal Crop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45701" cy="4850346"/>
                    </a:xfrm>
                    <a:prstGeom prst="rect">
                      <a:avLst/>
                    </a:prstGeom>
                  </pic:spPr>
                </pic:pic>
              </a:graphicData>
            </a:graphic>
          </wp:inline>
        </w:drawing>
      </w:r>
    </w:p>
    <w:p w14:paraId="62EC453E" w14:textId="48CF79D6" w:rsidR="00F4489D" w:rsidRDefault="00E728F5">
      <w:pPr>
        <w:rPr>
          <w:sz w:val="20"/>
          <w:szCs w:val="20"/>
        </w:rPr>
      </w:pPr>
      <w:r>
        <w:t xml:space="preserve">Fig SI13: Regional cereal crop yields of the five SSP marker scenarios for the </w:t>
      </w:r>
      <w:r w:rsidR="0072447D">
        <w:t>baseline (left column),</w:t>
      </w:r>
      <w:r w:rsidR="0072447D" w:rsidRPr="00FE7492">
        <w:t xml:space="preserve"> </w:t>
      </w:r>
      <w:r w:rsidR="0072447D">
        <w:t>RCP</w:t>
      </w:r>
      <w:r w:rsidR="0072447D" w:rsidRPr="00FE7492">
        <w:t>4.5</w:t>
      </w:r>
      <w:r w:rsidR="0072447D">
        <w:t xml:space="preserve"> (middle column) and RCP2.6 (right column)</w:t>
      </w:r>
      <w:r w:rsidR="0072447D" w:rsidRPr="00FE7492">
        <w:t xml:space="preserve"> </w:t>
      </w:r>
      <w:r w:rsidR="0072447D">
        <w:t xml:space="preserve">cases. </w:t>
      </w:r>
      <w:r>
        <w:t>Results are shown for five aggregate regions: (1) OECD90 countries (OECD), (2) reforming economies of Eastern Europe and the Former Soviet Union (REF), (3) countries of the Middle East and Africa (MAF), (4) countries of Latin America and the Caribbean (LAM) and (5) Asian countries with the exception of the Middle East, Japan and Former Soviet Union states (ASIA).</w:t>
      </w:r>
      <w:r w:rsidR="00E55C62">
        <w:t xml:space="preserve"> </w:t>
      </w:r>
      <w:r w:rsidR="008434E9">
        <w:rPr>
          <w:sz w:val="20"/>
          <w:szCs w:val="20"/>
        </w:rPr>
        <w:t xml:space="preserve">Colored lines indicate the marker model results for each SSP. </w:t>
      </w:r>
      <w:r w:rsidR="008434E9" w:rsidRPr="00750ECA">
        <w:rPr>
          <w:sz w:val="20"/>
          <w:szCs w:val="20"/>
        </w:rPr>
        <w:t xml:space="preserve">Colored bars indicate the range of data in 2100 across all marker and non-marker projections for </w:t>
      </w:r>
      <w:r w:rsidR="008434E9">
        <w:rPr>
          <w:sz w:val="20"/>
          <w:szCs w:val="20"/>
        </w:rPr>
        <w:t xml:space="preserve">each SSP (models are depicted by icon). </w:t>
      </w:r>
    </w:p>
    <w:p w14:paraId="7743521C" w14:textId="1D294D91" w:rsidR="00107A39" w:rsidRDefault="00F4489D">
      <w:r>
        <w:rPr>
          <w:noProof/>
        </w:rPr>
        <w:drawing>
          <wp:inline distT="0" distB="0" distL="0" distR="0" wp14:anchorId="77EDA342" wp14:editId="05052D30">
            <wp:extent cx="5943600" cy="4359236"/>
            <wp:effectExtent l="0" t="0" r="0" b="1016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s_reg_yr_stack_abs_CO2.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4359236"/>
                    </a:xfrm>
                    <a:prstGeom prst="rect">
                      <a:avLst/>
                    </a:prstGeom>
                  </pic:spPr>
                </pic:pic>
              </a:graphicData>
            </a:graphic>
          </wp:inline>
        </w:drawing>
      </w:r>
    </w:p>
    <w:p w14:paraId="77135ED3" w14:textId="3FA75314" w:rsidR="00E728F5" w:rsidRDefault="00E728F5" w:rsidP="00E728F5">
      <w:r>
        <w:t xml:space="preserve">Fig SI14: Regional carbon dynamics from land use change of the five SSP marker scenarios for the </w:t>
      </w:r>
      <w:r w:rsidR="0072447D">
        <w:t xml:space="preserve">baseline </w:t>
      </w:r>
      <w:r>
        <w:t>(upper row),</w:t>
      </w:r>
      <w:r w:rsidRPr="00FE7492">
        <w:t xml:space="preserve"> </w:t>
      </w:r>
      <w:r>
        <w:t>RCP</w:t>
      </w:r>
      <w:r w:rsidRPr="00FE7492">
        <w:t>4.5</w:t>
      </w:r>
      <w:r>
        <w:t xml:space="preserve"> (middle row) and RCP2.6 (lower row)</w:t>
      </w:r>
      <w:r w:rsidRPr="00FE7492">
        <w:t xml:space="preserve"> </w:t>
      </w:r>
      <w:r>
        <w:t>cases. Data is shown for five aggregate regions: (1) OECD90 countries (OECD), (2) reforming economies of Eastern Europe and the Former Soviet Union (REF), (3) countries of the Middle East and Africa (MAF), (4) countries of Latin America and the Caribbean (LAM) and (5) Asian countries with the exception of the Middle East, Japan and Former Soviet Union states (ASIA).</w:t>
      </w:r>
    </w:p>
    <w:p w14:paraId="3D29C8FA" w14:textId="41627F24" w:rsidR="007B433F" w:rsidRDefault="00F4489D">
      <w:r>
        <w:rPr>
          <w:noProof/>
        </w:rPr>
        <w:drawing>
          <wp:inline distT="0" distB="0" distL="0" distR="0" wp14:anchorId="7AB467C2" wp14:editId="4759C4BC">
            <wp:extent cx="5943600" cy="4359236"/>
            <wp:effectExtent l="0" t="0" r="0" b="1016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s_reg_yr_stack_abs_CH4.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4359236"/>
                    </a:xfrm>
                    <a:prstGeom prst="rect">
                      <a:avLst/>
                    </a:prstGeom>
                  </pic:spPr>
                </pic:pic>
              </a:graphicData>
            </a:graphic>
          </wp:inline>
        </w:drawing>
      </w:r>
    </w:p>
    <w:p w14:paraId="070FF045" w14:textId="4DF51868" w:rsidR="00E728F5" w:rsidRDefault="00E728F5" w:rsidP="00E728F5">
      <w:r>
        <w:t xml:space="preserve">Fig SI15: Regional methane emissions from agricultural production of the five SSP marker scenarios for the </w:t>
      </w:r>
      <w:r w:rsidR="0072447D">
        <w:t xml:space="preserve">baseline </w:t>
      </w:r>
      <w:r>
        <w:t>(upper row),</w:t>
      </w:r>
      <w:r w:rsidRPr="00FE7492">
        <w:t xml:space="preserve"> </w:t>
      </w:r>
      <w:r>
        <w:t>RCP</w:t>
      </w:r>
      <w:r w:rsidRPr="00FE7492">
        <w:t>4.5</w:t>
      </w:r>
      <w:r>
        <w:t xml:space="preserve"> (middle row) and RCP2.6 (lower row)</w:t>
      </w:r>
      <w:r w:rsidRPr="00FE7492">
        <w:t xml:space="preserve"> </w:t>
      </w:r>
      <w:r>
        <w:t>cases. Data is shown for five aggregate regions: (1) OECD90 countries (OECD), (2) reforming economies of Eastern Europe and the Former Soviet Union (REF), (3) countries of the Middle East and Africa (MAF), (4) countries of Latin America and the Caribbean (LAM) and (5) Asian countries with the exception of the Middle East, Japan and Former Soviet Union states (ASIA).</w:t>
      </w:r>
    </w:p>
    <w:p w14:paraId="09814B8E" w14:textId="77777777" w:rsidR="007B433F" w:rsidRDefault="007B433F"/>
    <w:p w14:paraId="403C3AD0" w14:textId="77777777" w:rsidR="007B433F" w:rsidRDefault="007B433F"/>
    <w:p w14:paraId="75F600B4" w14:textId="46CE50A0" w:rsidR="00107A39" w:rsidRDefault="00F4489D">
      <w:r>
        <w:rPr>
          <w:noProof/>
        </w:rPr>
        <w:drawing>
          <wp:inline distT="0" distB="0" distL="0" distR="0" wp14:anchorId="73F7F35C" wp14:editId="45EACBBD">
            <wp:extent cx="5943600" cy="4359236"/>
            <wp:effectExtent l="0" t="0" r="0" b="1016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s_reg_yr_stack_abs_N2O.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4359236"/>
                    </a:xfrm>
                    <a:prstGeom prst="rect">
                      <a:avLst/>
                    </a:prstGeom>
                  </pic:spPr>
                </pic:pic>
              </a:graphicData>
            </a:graphic>
          </wp:inline>
        </w:drawing>
      </w:r>
    </w:p>
    <w:p w14:paraId="2CAC1658" w14:textId="5DC4476D" w:rsidR="00E728F5" w:rsidRDefault="00E728F5" w:rsidP="00E728F5">
      <w:r>
        <w:t xml:space="preserve">Fig SI16: Regional nitrous oxide emissions from agricultural production of the five SSP marker scenarios for the </w:t>
      </w:r>
      <w:r w:rsidR="0072447D">
        <w:t xml:space="preserve">baseline </w:t>
      </w:r>
      <w:r>
        <w:t>(upper row),</w:t>
      </w:r>
      <w:r w:rsidRPr="00FE7492">
        <w:t xml:space="preserve"> </w:t>
      </w:r>
      <w:r>
        <w:t>RCP</w:t>
      </w:r>
      <w:r w:rsidRPr="00FE7492">
        <w:t>4.5</w:t>
      </w:r>
      <w:r>
        <w:t xml:space="preserve"> (middle row) and RCP2.6 (lower row)</w:t>
      </w:r>
      <w:r w:rsidRPr="00FE7492">
        <w:t xml:space="preserve"> </w:t>
      </w:r>
      <w:r>
        <w:t>cases. Data is shown for five aggregate regions: (1) OECD90 countries (OECD), (2) reforming economies of Eastern Europe and the Former Soviet Union (REF), (3) countries of the Middle East and Africa (MAF), (4) countries of Latin America and the Caribbean (LAM) and (5) Asian countries with the exception of the Middle East, Japan and Former Soviet Union states (ASIA).</w:t>
      </w:r>
    </w:p>
    <w:p w14:paraId="60E1FFF0" w14:textId="77777777" w:rsidR="00E728F5" w:rsidRDefault="00E728F5"/>
    <w:p w14:paraId="59248F73" w14:textId="77777777" w:rsidR="007B433F" w:rsidRDefault="007B433F"/>
    <w:p w14:paraId="0D604E35" w14:textId="42A4FF86" w:rsidR="00411AA2" w:rsidRDefault="00411AA2">
      <w:r>
        <w:rPr>
          <w:noProof/>
        </w:rPr>
        <w:drawing>
          <wp:inline distT="0" distB="0" distL="0" distR="0" wp14:anchorId="4EEBA154" wp14:editId="37E42224">
            <wp:extent cx="5943427" cy="6341744"/>
            <wp:effectExtent l="0" t="0" r="63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rice_reg.png"/>
                    <pic:cNvPicPr/>
                  </pic:nvPicPr>
                  <pic:blipFill>
                    <a:blip r:embed="rId25">
                      <a:extLst>
                        <a:ext uri="{28A0092B-C50C-407E-A947-70E740481C1C}">
                          <a14:useLocalDpi xmlns:a14="http://schemas.microsoft.com/office/drawing/2010/main" val="0"/>
                        </a:ext>
                      </a:extLst>
                    </a:blip>
                    <a:stretch>
                      <a:fillRect/>
                    </a:stretch>
                  </pic:blipFill>
                  <pic:spPr>
                    <a:xfrm>
                      <a:off x="0" y="0"/>
                      <a:ext cx="5943427" cy="6341744"/>
                    </a:xfrm>
                    <a:prstGeom prst="rect">
                      <a:avLst/>
                    </a:prstGeom>
                  </pic:spPr>
                </pic:pic>
              </a:graphicData>
            </a:graphic>
          </wp:inline>
        </w:drawing>
      </w:r>
    </w:p>
    <w:p w14:paraId="3B68A1F3" w14:textId="2AC20267" w:rsidR="00D3012D" w:rsidRDefault="00E728F5" w:rsidP="00E728F5">
      <w:r>
        <w:t xml:space="preserve">Fig SI15: </w:t>
      </w:r>
      <w:r w:rsidR="00D3012D">
        <w:t xml:space="preserve">Changes in regional </w:t>
      </w:r>
      <w:r w:rsidR="00D3012D" w:rsidRPr="00CE71DA">
        <w:t xml:space="preserve">market prices </w:t>
      </w:r>
      <w:r w:rsidR="00D3012D" w:rsidRPr="00CE71DA">
        <w:rPr>
          <w:rFonts w:cs="NimbusSansL"/>
        </w:rPr>
        <w:t>[2005=1] aggre</w:t>
      </w:r>
      <w:r w:rsidR="00D3012D">
        <w:rPr>
          <w:rFonts w:cs="NimbusSansL"/>
        </w:rPr>
        <w:t xml:space="preserve">gated across all crop and livestock commodities </w:t>
      </w:r>
      <w:r w:rsidR="00D3012D">
        <w:t xml:space="preserve">of the five SSP marker scenarios for the </w:t>
      </w:r>
      <w:r w:rsidR="0072447D">
        <w:t xml:space="preserve">baseline </w:t>
      </w:r>
      <w:r w:rsidR="00D3012D">
        <w:t>(left column),</w:t>
      </w:r>
      <w:r w:rsidR="00D3012D" w:rsidRPr="00FE7492">
        <w:t xml:space="preserve"> </w:t>
      </w:r>
      <w:r w:rsidR="00D3012D">
        <w:t>RCP</w:t>
      </w:r>
      <w:r w:rsidR="00D3012D" w:rsidRPr="00FE7492">
        <w:t>4.5</w:t>
      </w:r>
      <w:r w:rsidR="00D3012D">
        <w:t xml:space="preserve"> (middle column) and RCP2.6 (right column)</w:t>
      </w:r>
      <w:r w:rsidR="00D3012D" w:rsidRPr="00FE7492">
        <w:t xml:space="preserve"> </w:t>
      </w:r>
      <w:r w:rsidR="00D3012D">
        <w:t xml:space="preserve">cases. </w:t>
      </w:r>
      <w:r w:rsidR="00411AA2">
        <w:rPr>
          <w:sz w:val="20"/>
          <w:szCs w:val="20"/>
        </w:rPr>
        <w:t xml:space="preserve">Colored lines indicate the marker model results for each SSP. </w:t>
      </w:r>
      <w:r w:rsidR="00411AA2" w:rsidRPr="00750ECA">
        <w:rPr>
          <w:sz w:val="20"/>
          <w:szCs w:val="20"/>
        </w:rPr>
        <w:t xml:space="preserve">Colored bars indicate the range of data in 2100 across all marker and non-marker projections for </w:t>
      </w:r>
      <w:r w:rsidR="00411AA2">
        <w:rPr>
          <w:sz w:val="20"/>
          <w:szCs w:val="20"/>
        </w:rPr>
        <w:t xml:space="preserve">each SSP (models are depicted by icon). </w:t>
      </w:r>
    </w:p>
    <w:p w14:paraId="3819C277" w14:textId="6168DC8F" w:rsidR="007B433F" w:rsidRDefault="002E7C85">
      <w:r>
        <w:rPr>
          <w:noProof/>
        </w:rPr>
        <w:drawing>
          <wp:inline distT="0" distB="0" distL="0" distR="0" wp14:anchorId="4CB1E0ED" wp14:editId="5CDCE72F">
            <wp:extent cx="5930900" cy="6721388"/>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jects/ssp/V15/plotting/plots_V15_final5/comp_ssp2_lu_2050.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930900" cy="6721388"/>
                    </a:xfrm>
                    <a:prstGeom prst="rect">
                      <a:avLst/>
                    </a:prstGeom>
                    <a:noFill/>
                    <a:ln>
                      <a:noFill/>
                    </a:ln>
                  </pic:spPr>
                </pic:pic>
              </a:graphicData>
            </a:graphic>
          </wp:inline>
        </w:drawing>
      </w:r>
    </w:p>
    <w:p w14:paraId="0B314F1D" w14:textId="4ADF1C95" w:rsidR="002E7C85" w:rsidRDefault="002E7C85" w:rsidP="002E7C85">
      <w:pPr>
        <w:rPr>
          <w:sz w:val="20"/>
          <w:szCs w:val="20"/>
        </w:rPr>
      </w:pPr>
      <w:r>
        <w:t xml:space="preserve">Fig SI16: Differences in land-use compared to SSP2 in 2050 for each SSP (horizontal) and RCP (vertical). </w:t>
      </w:r>
      <w:r>
        <w:rPr>
          <w:sz w:val="20"/>
          <w:szCs w:val="20"/>
        </w:rPr>
        <w:t>Models are depicted by icon. Marker scenarios are indicated by color: SSP1 (green), SSP3(red), SSP4 (orange), SSP5 (pink).</w:t>
      </w:r>
    </w:p>
    <w:p w14:paraId="162F0A2B" w14:textId="77777777" w:rsidR="003E5FDB" w:rsidRDefault="003E5FDB" w:rsidP="003E5FDB">
      <w:r>
        <w:rPr>
          <w:noProof/>
        </w:rPr>
        <w:drawing>
          <wp:inline distT="0" distB="0" distL="0" distR="0" wp14:anchorId="63807F81" wp14:editId="42B90214">
            <wp:extent cx="5930900" cy="6721388"/>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jects/ssp/V15/plotting/plots_V15_final5/comp_ssp2_lu_2050.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930900" cy="6721388"/>
                    </a:xfrm>
                    <a:prstGeom prst="rect">
                      <a:avLst/>
                    </a:prstGeom>
                    <a:noFill/>
                    <a:ln>
                      <a:noFill/>
                    </a:ln>
                  </pic:spPr>
                </pic:pic>
              </a:graphicData>
            </a:graphic>
          </wp:inline>
        </w:drawing>
      </w:r>
    </w:p>
    <w:p w14:paraId="25A5C4ED" w14:textId="14D0C023" w:rsidR="003E5FDB" w:rsidRDefault="003E5FDB" w:rsidP="003E5FDB">
      <w:r>
        <w:t xml:space="preserve">Fig SI17: Differences in land-use compared to SSP2 in 2100 for each SSP (horizontal) and RCP (vertical). </w:t>
      </w:r>
      <w:r>
        <w:rPr>
          <w:sz w:val="20"/>
          <w:szCs w:val="20"/>
        </w:rPr>
        <w:t>Models are depicted by icon. Marker scenarios are indicated by color: SSP1 (green), SSP3(red), SSP4 (orange), SSP5 (pink).</w:t>
      </w:r>
    </w:p>
    <w:p w14:paraId="47C1DEF7" w14:textId="77777777" w:rsidR="003E5FDB" w:rsidRDefault="003E5FDB" w:rsidP="003E5FDB">
      <w:r>
        <w:rPr>
          <w:noProof/>
        </w:rPr>
        <w:drawing>
          <wp:inline distT="0" distB="0" distL="0" distR="0" wp14:anchorId="7F13F3B9" wp14:editId="5514CBF0">
            <wp:extent cx="5930900" cy="4742933"/>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jects/ssp/V15/plotting/plots_V15_final5/comp_ssp2_lu_2050.pn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930900" cy="4742933"/>
                    </a:xfrm>
                    <a:prstGeom prst="rect">
                      <a:avLst/>
                    </a:prstGeom>
                    <a:noFill/>
                    <a:ln>
                      <a:noFill/>
                    </a:ln>
                  </pic:spPr>
                </pic:pic>
              </a:graphicData>
            </a:graphic>
          </wp:inline>
        </w:drawing>
      </w:r>
    </w:p>
    <w:p w14:paraId="7393904E" w14:textId="4EDB829A" w:rsidR="003E5FDB" w:rsidRDefault="003E5FDB" w:rsidP="003E5FDB">
      <w:r>
        <w:t xml:space="preserve">Fig SI18: Differences in land-use compared to Baseline in 2050 for each SSP (horizontal) and RCP (vertical). </w:t>
      </w:r>
      <w:r>
        <w:rPr>
          <w:sz w:val="20"/>
          <w:szCs w:val="20"/>
        </w:rPr>
        <w:t>Models are depicted by icon. Marker scenarios are indicated by color: SSP1 (green), SSP2 (blue), SSP3(red), SSP4 (orange), SSP5 (pink).</w:t>
      </w:r>
    </w:p>
    <w:p w14:paraId="36ED610D" w14:textId="77777777" w:rsidR="003E5FDB" w:rsidRDefault="003E5FDB" w:rsidP="003E5FDB">
      <w:r>
        <w:rPr>
          <w:noProof/>
        </w:rPr>
        <w:drawing>
          <wp:inline distT="0" distB="0" distL="0" distR="0" wp14:anchorId="62FC3D25" wp14:editId="65F011BE">
            <wp:extent cx="5930899" cy="474293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jects/ssp/V15/plotting/plots_V15_final5/comp_ssp2_lu_2050.pn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930899" cy="4742933"/>
                    </a:xfrm>
                    <a:prstGeom prst="rect">
                      <a:avLst/>
                    </a:prstGeom>
                    <a:noFill/>
                    <a:ln>
                      <a:noFill/>
                    </a:ln>
                  </pic:spPr>
                </pic:pic>
              </a:graphicData>
            </a:graphic>
          </wp:inline>
        </w:drawing>
      </w:r>
    </w:p>
    <w:p w14:paraId="4BB11194" w14:textId="76C95450" w:rsidR="003E5FDB" w:rsidRDefault="003E5FDB" w:rsidP="003E5FDB">
      <w:r>
        <w:t xml:space="preserve">Fig SI19: Differences in land-use compared to Baseline in 2100 for each SSP (horizontal) and RCP (vertical). </w:t>
      </w:r>
      <w:r>
        <w:rPr>
          <w:sz w:val="20"/>
          <w:szCs w:val="20"/>
        </w:rPr>
        <w:t>Models are depicted by icon. Marker scenarios are indicated by color: SSP1 (green), SSP2 (blue), SSP3(red), SSP4 (orange), SSP5 (pink).</w:t>
      </w:r>
    </w:p>
    <w:p w14:paraId="0D0F15EE" w14:textId="77777777" w:rsidR="003E5FDB" w:rsidRDefault="003E5FDB" w:rsidP="002E7C85"/>
    <w:p w14:paraId="4368D361" w14:textId="77777777" w:rsidR="00286B48" w:rsidRDefault="00286B48" w:rsidP="002E7C85"/>
    <w:p w14:paraId="2781F6E6" w14:textId="77777777" w:rsidR="00286B48" w:rsidRDefault="00286B48" w:rsidP="002E7C85"/>
    <w:p w14:paraId="3FE9940C" w14:textId="77777777" w:rsidR="00286B48" w:rsidRDefault="00286B48" w:rsidP="002E7C85"/>
    <w:p w14:paraId="7EE15690" w14:textId="77777777" w:rsidR="00286B48" w:rsidRDefault="00286B48" w:rsidP="002E7C85"/>
    <w:p w14:paraId="25C2DA16" w14:textId="77777777" w:rsidR="00286B48" w:rsidRDefault="00286B48" w:rsidP="002E7C85"/>
    <w:p w14:paraId="3F353690" w14:textId="77777777" w:rsidR="00286B48" w:rsidRDefault="00286B48" w:rsidP="002E7C85"/>
    <w:p w14:paraId="777B1178" w14:textId="77777777" w:rsidR="00286B48" w:rsidRDefault="00286B48" w:rsidP="002E7C85"/>
    <w:p w14:paraId="670A40CE" w14:textId="69509B81" w:rsidR="00286B48" w:rsidRDefault="00286B48" w:rsidP="00286B48">
      <w:pPr>
        <w:pStyle w:val="Caption"/>
        <w:keepNext/>
      </w:pPr>
      <w:r>
        <w:t>Table SI</w:t>
      </w:r>
      <w:r w:rsidR="000B07E7">
        <w:fldChar w:fldCharType="begin"/>
      </w:r>
      <w:r w:rsidR="000B07E7">
        <w:instrText xml:space="preserve"> SEQ Table \* ARABIC </w:instrText>
      </w:r>
      <w:r w:rsidR="000B07E7">
        <w:fldChar w:fldCharType="separate"/>
      </w:r>
      <w:r>
        <w:rPr>
          <w:noProof/>
        </w:rPr>
        <w:t>1</w:t>
      </w:r>
      <w:r w:rsidR="000B07E7">
        <w:rPr>
          <w:noProof/>
        </w:rPr>
        <w:fldChar w:fldCharType="end"/>
      </w:r>
      <w:r>
        <w:t>: Summary of qualitative results in 2100 across IAMs for the Baseline scenario. All results are compared to SSP2. Dark green indicates consistency across models. Light green indicates consistency in most models.</w:t>
      </w:r>
    </w:p>
    <w:tbl>
      <w:tblPr>
        <w:tblStyle w:val="TableGrid"/>
        <w:tblW w:w="0" w:type="auto"/>
        <w:tblLayout w:type="fixed"/>
        <w:tblLook w:val="04A0" w:firstRow="1" w:lastRow="0" w:firstColumn="1" w:lastColumn="0" w:noHBand="0" w:noVBand="1"/>
      </w:tblPr>
      <w:tblGrid>
        <w:gridCol w:w="1278"/>
        <w:gridCol w:w="1530"/>
        <w:gridCol w:w="1642"/>
        <w:gridCol w:w="1643"/>
        <w:gridCol w:w="1642"/>
        <w:gridCol w:w="1643"/>
      </w:tblGrid>
      <w:tr w:rsidR="00286B48" w:rsidRPr="001A7949" w14:paraId="235CCE66" w14:textId="77777777" w:rsidTr="004969EA">
        <w:tc>
          <w:tcPr>
            <w:tcW w:w="1278" w:type="dxa"/>
          </w:tcPr>
          <w:p w14:paraId="0F650EA2" w14:textId="77777777" w:rsidR="00286B48" w:rsidRPr="001A7949" w:rsidRDefault="00286B48" w:rsidP="004969EA">
            <w:pPr>
              <w:rPr>
                <w:b/>
                <w:sz w:val="18"/>
                <w:szCs w:val="18"/>
              </w:rPr>
            </w:pPr>
          </w:p>
        </w:tc>
        <w:tc>
          <w:tcPr>
            <w:tcW w:w="1530" w:type="dxa"/>
          </w:tcPr>
          <w:p w14:paraId="32EF10A1" w14:textId="77777777" w:rsidR="00286B48" w:rsidRPr="001A7949" w:rsidRDefault="00286B48" w:rsidP="004969EA">
            <w:pPr>
              <w:rPr>
                <w:b/>
                <w:sz w:val="18"/>
                <w:szCs w:val="18"/>
              </w:rPr>
            </w:pPr>
          </w:p>
        </w:tc>
        <w:tc>
          <w:tcPr>
            <w:tcW w:w="1642" w:type="dxa"/>
            <w:tcBorders>
              <w:bottom w:val="single" w:sz="4" w:space="0" w:color="auto"/>
            </w:tcBorders>
          </w:tcPr>
          <w:p w14:paraId="185DB7AC" w14:textId="77777777" w:rsidR="00286B48" w:rsidRPr="001A7949" w:rsidRDefault="00286B48" w:rsidP="004969EA">
            <w:pPr>
              <w:rPr>
                <w:b/>
                <w:sz w:val="18"/>
                <w:szCs w:val="18"/>
              </w:rPr>
            </w:pPr>
            <w:r w:rsidRPr="001A7949">
              <w:rPr>
                <w:b/>
                <w:sz w:val="18"/>
                <w:szCs w:val="18"/>
              </w:rPr>
              <w:t>SSP1</w:t>
            </w:r>
          </w:p>
        </w:tc>
        <w:tc>
          <w:tcPr>
            <w:tcW w:w="1643" w:type="dxa"/>
            <w:tcBorders>
              <w:bottom w:val="single" w:sz="4" w:space="0" w:color="auto"/>
            </w:tcBorders>
          </w:tcPr>
          <w:p w14:paraId="5E5C0A63" w14:textId="77777777" w:rsidR="00286B48" w:rsidRPr="001A7949" w:rsidRDefault="00286B48" w:rsidP="004969EA">
            <w:pPr>
              <w:rPr>
                <w:b/>
                <w:sz w:val="18"/>
                <w:szCs w:val="18"/>
              </w:rPr>
            </w:pPr>
            <w:r w:rsidRPr="001A7949">
              <w:rPr>
                <w:b/>
                <w:sz w:val="18"/>
                <w:szCs w:val="18"/>
              </w:rPr>
              <w:t>SSP3</w:t>
            </w:r>
          </w:p>
        </w:tc>
        <w:tc>
          <w:tcPr>
            <w:tcW w:w="1642" w:type="dxa"/>
          </w:tcPr>
          <w:p w14:paraId="0C076E0E" w14:textId="77777777" w:rsidR="00286B48" w:rsidRPr="001A7949" w:rsidRDefault="00286B48" w:rsidP="004969EA">
            <w:pPr>
              <w:rPr>
                <w:b/>
                <w:sz w:val="18"/>
                <w:szCs w:val="18"/>
              </w:rPr>
            </w:pPr>
            <w:r w:rsidRPr="001A7949">
              <w:rPr>
                <w:b/>
                <w:sz w:val="18"/>
                <w:szCs w:val="18"/>
              </w:rPr>
              <w:t>SSP4</w:t>
            </w:r>
          </w:p>
        </w:tc>
        <w:tc>
          <w:tcPr>
            <w:tcW w:w="1643" w:type="dxa"/>
            <w:tcBorders>
              <w:bottom w:val="single" w:sz="4" w:space="0" w:color="auto"/>
            </w:tcBorders>
          </w:tcPr>
          <w:p w14:paraId="1415CCC1" w14:textId="77777777" w:rsidR="00286B48" w:rsidRPr="001A7949" w:rsidRDefault="00286B48" w:rsidP="004969EA">
            <w:pPr>
              <w:rPr>
                <w:b/>
                <w:sz w:val="18"/>
                <w:szCs w:val="18"/>
              </w:rPr>
            </w:pPr>
            <w:r w:rsidRPr="001A7949">
              <w:rPr>
                <w:b/>
                <w:sz w:val="18"/>
                <w:szCs w:val="18"/>
              </w:rPr>
              <w:t>SSP5</w:t>
            </w:r>
          </w:p>
        </w:tc>
      </w:tr>
      <w:tr w:rsidR="00286B48" w:rsidRPr="001A7949" w14:paraId="714DB57D" w14:textId="77777777" w:rsidTr="004969EA">
        <w:tc>
          <w:tcPr>
            <w:tcW w:w="1278" w:type="dxa"/>
            <w:vMerge w:val="restart"/>
            <w:vAlign w:val="center"/>
          </w:tcPr>
          <w:p w14:paraId="3A66E111" w14:textId="77777777" w:rsidR="00286B48" w:rsidRPr="001A7949" w:rsidRDefault="00286B48" w:rsidP="004969EA">
            <w:pPr>
              <w:rPr>
                <w:b/>
                <w:sz w:val="18"/>
                <w:szCs w:val="18"/>
              </w:rPr>
            </w:pPr>
            <w:r w:rsidRPr="001A7949">
              <w:rPr>
                <w:b/>
                <w:sz w:val="18"/>
                <w:szCs w:val="18"/>
              </w:rPr>
              <w:t>Demand</w:t>
            </w:r>
          </w:p>
        </w:tc>
        <w:tc>
          <w:tcPr>
            <w:tcW w:w="1530" w:type="dxa"/>
          </w:tcPr>
          <w:p w14:paraId="17D523FE" w14:textId="77777777" w:rsidR="00286B48" w:rsidRPr="001A7949" w:rsidRDefault="00286B48" w:rsidP="004969EA">
            <w:pPr>
              <w:rPr>
                <w:b/>
                <w:sz w:val="18"/>
                <w:szCs w:val="18"/>
              </w:rPr>
            </w:pPr>
            <w:r w:rsidRPr="001A7949">
              <w:rPr>
                <w:b/>
                <w:sz w:val="18"/>
                <w:szCs w:val="18"/>
              </w:rPr>
              <w:t>Crops</w:t>
            </w:r>
          </w:p>
        </w:tc>
        <w:tc>
          <w:tcPr>
            <w:tcW w:w="1642" w:type="dxa"/>
            <w:tcBorders>
              <w:bottom w:val="single" w:sz="4" w:space="0" w:color="auto"/>
            </w:tcBorders>
            <w:shd w:val="clear" w:color="auto" w:fill="008000"/>
          </w:tcPr>
          <w:p w14:paraId="66D28071" w14:textId="77777777" w:rsidR="00286B48" w:rsidRPr="001A7949" w:rsidRDefault="00286B48" w:rsidP="004969EA">
            <w:pPr>
              <w:rPr>
                <w:color w:val="FFFFFF" w:themeColor="background1"/>
                <w:sz w:val="18"/>
                <w:szCs w:val="18"/>
              </w:rPr>
            </w:pPr>
            <w:r w:rsidRPr="001A7949">
              <w:rPr>
                <w:color w:val="FFFFFF" w:themeColor="background1"/>
                <w:sz w:val="18"/>
                <w:szCs w:val="18"/>
              </w:rPr>
              <w:t>Lower than SSP2 in all models</w:t>
            </w:r>
          </w:p>
        </w:tc>
        <w:tc>
          <w:tcPr>
            <w:tcW w:w="1643" w:type="dxa"/>
            <w:tcBorders>
              <w:bottom w:val="single" w:sz="4" w:space="0" w:color="auto"/>
            </w:tcBorders>
            <w:shd w:val="clear" w:color="auto" w:fill="008000"/>
          </w:tcPr>
          <w:p w14:paraId="34965F98" w14:textId="77777777" w:rsidR="00286B48" w:rsidRPr="001A7949" w:rsidRDefault="00286B48" w:rsidP="004969EA">
            <w:pPr>
              <w:rPr>
                <w:color w:val="FFFFFF" w:themeColor="background1"/>
                <w:sz w:val="18"/>
                <w:szCs w:val="18"/>
              </w:rPr>
            </w:pPr>
            <w:r w:rsidRPr="001A7949">
              <w:rPr>
                <w:color w:val="FFFFFF" w:themeColor="background1"/>
                <w:sz w:val="18"/>
                <w:szCs w:val="18"/>
              </w:rPr>
              <w:t>Higher than SSP2 in all models</w:t>
            </w:r>
          </w:p>
        </w:tc>
        <w:tc>
          <w:tcPr>
            <w:tcW w:w="1642" w:type="dxa"/>
            <w:tcBorders>
              <w:bottom w:val="single" w:sz="4" w:space="0" w:color="auto"/>
            </w:tcBorders>
          </w:tcPr>
          <w:p w14:paraId="07DE1D51" w14:textId="77777777" w:rsidR="00286B48" w:rsidRPr="001A7949" w:rsidRDefault="00286B48" w:rsidP="004969EA">
            <w:pPr>
              <w:rPr>
                <w:sz w:val="18"/>
                <w:szCs w:val="18"/>
              </w:rPr>
            </w:pPr>
            <w:r w:rsidRPr="001A7949">
              <w:rPr>
                <w:sz w:val="18"/>
                <w:szCs w:val="18"/>
              </w:rPr>
              <w:t xml:space="preserve">Similar to SSP2 in </w:t>
            </w:r>
            <w:r>
              <w:rPr>
                <w:sz w:val="18"/>
                <w:szCs w:val="18"/>
              </w:rPr>
              <w:t>1 model</w:t>
            </w:r>
            <w:r w:rsidRPr="001A7949">
              <w:rPr>
                <w:sz w:val="18"/>
                <w:szCs w:val="18"/>
              </w:rPr>
              <w:t xml:space="preserve">; Lower than SSP2 in </w:t>
            </w:r>
            <w:r>
              <w:rPr>
                <w:sz w:val="18"/>
                <w:szCs w:val="18"/>
              </w:rPr>
              <w:t>1 model</w:t>
            </w:r>
          </w:p>
        </w:tc>
        <w:tc>
          <w:tcPr>
            <w:tcW w:w="1643" w:type="dxa"/>
            <w:shd w:val="clear" w:color="auto" w:fill="CCFFCC"/>
          </w:tcPr>
          <w:p w14:paraId="6F1770C2" w14:textId="77777777" w:rsidR="00286B48" w:rsidRPr="001A7949" w:rsidRDefault="00286B48" w:rsidP="004969EA">
            <w:pPr>
              <w:rPr>
                <w:sz w:val="18"/>
                <w:szCs w:val="18"/>
              </w:rPr>
            </w:pPr>
            <w:r w:rsidRPr="001A7949">
              <w:rPr>
                <w:sz w:val="18"/>
                <w:szCs w:val="18"/>
              </w:rPr>
              <w:t xml:space="preserve">Lower than SSP2 in </w:t>
            </w:r>
            <w:r>
              <w:rPr>
                <w:sz w:val="18"/>
                <w:szCs w:val="18"/>
              </w:rPr>
              <w:t>2 of 3 models</w:t>
            </w:r>
          </w:p>
        </w:tc>
      </w:tr>
      <w:tr w:rsidR="00286B48" w:rsidRPr="001A7949" w14:paraId="0218F847" w14:textId="77777777" w:rsidTr="004969EA">
        <w:tc>
          <w:tcPr>
            <w:tcW w:w="1278" w:type="dxa"/>
            <w:vMerge/>
          </w:tcPr>
          <w:p w14:paraId="4D3875B8" w14:textId="77777777" w:rsidR="00286B48" w:rsidRPr="001A7949" w:rsidRDefault="00286B48" w:rsidP="004969EA">
            <w:pPr>
              <w:rPr>
                <w:b/>
                <w:sz w:val="18"/>
                <w:szCs w:val="18"/>
              </w:rPr>
            </w:pPr>
          </w:p>
        </w:tc>
        <w:tc>
          <w:tcPr>
            <w:tcW w:w="1530" w:type="dxa"/>
          </w:tcPr>
          <w:p w14:paraId="0A08F0AF" w14:textId="77777777" w:rsidR="00286B48" w:rsidRPr="001A7949" w:rsidRDefault="00286B48" w:rsidP="004969EA">
            <w:pPr>
              <w:rPr>
                <w:b/>
                <w:sz w:val="18"/>
                <w:szCs w:val="18"/>
              </w:rPr>
            </w:pPr>
            <w:r w:rsidRPr="001A7949">
              <w:rPr>
                <w:b/>
                <w:sz w:val="18"/>
                <w:szCs w:val="18"/>
              </w:rPr>
              <w:t>Livestock</w:t>
            </w:r>
          </w:p>
        </w:tc>
        <w:tc>
          <w:tcPr>
            <w:tcW w:w="1642" w:type="dxa"/>
            <w:tcBorders>
              <w:bottom w:val="single" w:sz="4" w:space="0" w:color="auto"/>
            </w:tcBorders>
            <w:shd w:val="clear" w:color="auto" w:fill="008000"/>
          </w:tcPr>
          <w:p w14:paraId="14061F13" w14:textId="77777777" w:rsidR="00286B48" w:rsidRPr="001A7949" w:rsidRDefault="00286B48" w:rsidP="004969EA">
            <w:pPr>
              <w:rPr>
                <w:color w:val="FFFFFF" w:themeColor="background1"/>
                <w:sz w:val="18"/>
                <w:szCs w:val="18"/>
              </w:rPr>
            </w:pPr>
            <w:r w:rsidRPr="001A7949">
              <w:rPr>
                <w:color w:val="FFFFFF" w:themeColor="background1"/>
                <w:sz w:val="18"/>
                <w:szCs w:val="18"/>
              </w:rPr>
              <w:t>Lower than SSP2 in all models</w:t>
            </w:r>
          </w:p>
        </w:tc>
        <w:tc>
          <w:tcPr>
            <w:tcW w:w="1643" w:type="dxa"/>
            <w:shd w:val="clear" w:color="auto" w:fill="CCFFCC"/>
          </w:tcPr>
          <w:p w14:paraId="49E2E9E7" w14:textId="77777777" w:rsidR="00286B48" w:rsidRPr="001A7949" w:rsidRDefault="00286B48" w:rsidP="004969EA">
            <w:pPr>
              <w:rPr>
                <w:sz w:val="18"/>
                <w:szCs w:val="18"/>
              </w:rPr>
            </w:pPr>
            <w:r w:rsidRPr="001A7949">
              <w:rPr>
                <w:sz w:val="18"/>
                <w:szCs w:val="18"/>
              </w:rPr>
              <w:t>Higher than SSP2 in 3 of 4 models</w:t>
            </w:r>
          </w:p>
        </w:tc>
        <w:tc>
          <w:tcPr>
            <w:tcW w:w="1642" w:type="dxa"/>
            <w:shd w:val="clear" w:color="auto" w:fill="008000"/>
          </w:tcPr>
          <w:p w14:paraId="21342022" w14:textId="77777777" w:rsidR="00286B48" w:rsidRPr="001A7949" w:rsidRDefault="00286B48" w:rsidP="004969EA">
            <w:pPr>
              <w:rPr>
                <w:color w:val="FFFFFF" w:themeColor="background1"/>
                <w:sz w:val="18"/>
                <w:szCs w:val="18"/>
              </w:rPr>
            </w:pPr>
            <w:r w:rsidRPr="001A7949">
              <w:rPr>
                <w:color w:val="FFFFFF" w:themeColor="background1"/>
                <w:sz w:val="18"/>
                <w:szCs w:val="18"/>
              </w:rPr>
              <w:t>Lower than SSP2 in both models</w:t>
            </w:r>
          </w:p>
        </w:tc>
        <w:tc>
          <w:tcPr>
            <w:tcW w:w="1643" w:type="dxa"/>
            <w:shd w:val="clear" w:color="auto" w:fill="CCFFCC"/>
          </w:tcPr>
          <w:p w14:paraId="67C16A54" w14:textId="77777777" w:rsidR="00286B48" w:rsidRPr="001A7949" w:rsidRDefault="00286B48" w:rsidP="004969EA">
            <w:pPr>
              <w:rPr>
                <w:sz w:val="18"/>
                <w:szCs w:val="18"/>
              </w:rPr>
            </w:pPr>
            <w:r w:rsidRPr="001A7949">
              <w:rPr>
                <w:sz w:val="18"/>
                <w:szCs w:val="18"/>
              </w:rPr>
              <w:t xml:space="preserve">Higher than SSP2 in </w:t>
            </w:r>
            <w:r>
              <w:rPr>
                <w:sz w:val="18"/>
                <w:szCs w:val="18"/>
              </w:rPr>
              <w:t>2 o3 3 models</w:t>
            </w:r>
          </w:p>
        </w:tc>
      </w:tr>
      <w:tr w:rsidR="00286B48" w:rsidRPr="001A7949" w14:paraId="15FEC715" w14:textId="77777777" w:rsidTr="004969EA">
        <w:tc>
          <w:tcPr>
            <w:tcW w:w="1278" w:type="dxa"/>
            <w:vMerge/>
          </w:tcPr>
          <w:p w14:paraId="12F97484" w14:textId="77777777" w:rsidR="00286B48" w:rsidRPr="001A7949" w:rsidRDefault="00286B48" w:rsidP="004969EA">
            <w:pPr>
              <w:rPr>
                <w:b/>
                <w:sz w:val="18"/>
                <w:szCs w:val="18"/>
              </w:rPr>
            </w:pPr>
          </w:p>
        </w:tc>
        <w:tc>
          <w:tcPr>
            <w:tcW w:w="1530" w:type="dxa"/>
          </w:tcPr>
          <w:p w14:paraId="06F7B2B1" w14:textId="77777777" w:rsidR="00286B48" w:rsidRPr="001A7949" w:rsidRDefault="00286B48" w:rsidP="004969EA">
            <w:pPr>
              <w:rPr>
                <w:b/>
                <w:sz w:val="18"/>
                <w:szCs w:val="18"/>
              </w:rPr>
            </w:pPr>
            <w:r w:rsidRPr="001A7949">
              <w:rPr>
                <w:b/>
                <w:sz w:val="18"/>
                <w:szCs w:val="18"/>
              </w:rPr>
              <w:t>2</w:t>
            </w:r>
            <w:r w:rsidRPr="001A7949">
              <w:rPr>
                <w:b/>
                <w:sz w:val="18"/>
                <w:szCs w:val="18"/>
                <w:vertAlign w:val="superscript"/>
              </w:rPr>
              <w:t>nd</w:t>
            </w:r>
            <w:r w:rsidRPr="001A7949">
              <w:rPr>
                <w:b/>
                <w:sz w:val="18"/>
                <w:szCs w:val="18"/>
              </w:rPr>
              <w:t xml:space="preserve"> Generation Bioenergy</w:t>
            </w:r>
          </w:p>
        </w:tc>
        <w:tc>
          <w:tcPr>
            <w:tcW w:w="1642" w:type="dxa"/>
            <w:tcBorders>
              <w:bottom w:val="single" w:sz="4" w:space="0" w:color="auto"/>
            </w:tcBorders>
            <w:shd w:val="clear" w:color="auto" w:fill="CCFFCC"/>
          </w:tcPr>
          <w:p w14:paraId="678EE666" w14:textId="77777777" w:rsidR="00286B48" w:rsidRPr="001A7949" w:rsidRDefault="00286B48" w:rsidP="004969EA">
            <w:pPr>
              <w:rPr>
                <w:sz w:val="18"/>
                <w:szCs w:val="18"/>
              </w:rPr>
            </w:pPr>
            <w:r w:rsidRPr="001A7949">
              <w:rPr>
                <w:sz w:val="18"/>
                <w:szCs w:val="18"/>
              </w:rPr>
              <w:t>Higher than SSP2 in 4 of 5 models</w:t>
            </w:r>
          </w:p>
        </w:tc>
        <w:tc>
          <w:tcPr>
            <w:tcW w:w="1643" w:type="dxa"/>
            <w:tcBorders>
              <w:bottom w:val="single" w:sz="4" w:space="0" w:color="auto"/>
            </w:tcBorders>
          </w:tcPr>
          <w:p w14:paraId="7029B670" w14:textId="77777777" w:rsidR="00286B48" w:rsidRPr="001A7949" w:rsidRDefault="00286B48" w:rsidP="004969EA">
            <w:pPr>
              <w:rPr>
                <w:sz w:val="18"/>
                <w:szCs w:val="18"/>
              </w:rPr>
            </w:pPr>
            <w:r w:rsidRPr="001A7949">
              <w:rPr>
                <w:sz w:val="18"/>
                <w:szCs w:val="18"/>
              </w:rPr>
              <w:t xml:space="preserve">Higher than SSP2 in </w:t>
            </w:r>
            <w:r>
              <w:rPr>
                <w:sz w:val="18"/>
                <w:szCs w:val="18"/>
              </w:rPr>
              <w:t>2 models</w:t>
            </w:r>
            <w:r w:rsidRPr="001A7949">
              <w:rPr>
                <w:sz w:val="18"/>
                <w:szCs w:val="18"/>
              </w:rPr>
              <w:t xml:space="preserve">; Lower in </w:t>
            </w:r>
            <w:r>
              <w:rPr>
                <w:sz w:val="18"/>
                <w:szCs w:val="18"/>
              </w:rPr>
              <w:t>2 models</w:t>
            </w:r>
          </w:p>
        </w:tc>
        <w:tc>
          <w:tcPr>
            <w:tcW w:w="1642" w:type="dxa"/>
            <w:tcBorders>
              <w:bottom w:val="single" w:sz="4" w:space="0" w:color="auto"/>
            </w:tcBorders>
          </w:tcPr>
          <w:p w14:paraId="0B48C94C" w14:textId="77777777" w:rsidR="00286B48" w:rsidRPr="001A7949" w:rsidRDefault="00286B48" w:rsidP="004969EA">
            <w:pPr>
              <w:rPr>
                <w:sz w:val="18"/>
                <w:szCs w:val="18"/>
              </w:rPr>
            </w:pPr>
            <w:r w:rsidRPr="001A7949">
              <w:rPr>
                <w:sz w:val="18"/>
                <w:szCs w:val="18"/>
              </w:rPr>
              <w:t xml:space="preserve">Higher than SSP2 in </w:t>
            </w:r>
            <w:r>
              <w:rPr>
                <w:sz w:val="18"/>
                <w:szCs w:val="18"/>
              </w:rPr>
              <w:t>1 model</w:t>
            </w:r>
            <w:r w:rsidRPr="001A7949">
              <w:rPr>
                <w:sz w:val="18"/>
                <w:szCs w:val="18"/>
              </w:rPr>
              <w:t xml:space="preserve">; Lower in </w:t>
            </w:r>
            <w:r>
              <w:rPr>
                <w:sz w:val="18"/>
                <w:szCs w:val="18"/>
              </w:rPr>
              <w:t>1 model</w:t>
            </w:r>
          </w:p>
        </w:tc>
        <w:tc>
          <w:tcPr>
            <w:tcW w:w="1643" w:type="dxa"/>
            <w:tcBorders>
              <w:bottom w:val="single" w:sz="4" w:space="0" w:color="auto"/>
            </w:tcBorders>
          </w:tcPr>
          <w:p w14:paraId="025F1D96" w14:textId="77777777" w:rsidR="00286B48" w:rsidRPr="001A7949" w:rsidRDefault="00286B48" w:rsidP="004969EA">
            <w:pPr>
              <w:rPr>
                <w:sz w:val="18"/>
                <w:szCs w:val="18"/>
              </w:rPr>
            </w:pPr>
            <w:r w:rsidRPr="001A7949">
              <w:rPr>
                <w:sz w:val="18"/>
                <w:szCs w:val="18"/>
              </w:rPr>
              <w:t xml:space="preserve">Similar to SSP2 in </w:t>
            </w:r>
            <w:r>
              <w:rPr>
                <w:sz w:val="18"/>
                <w:szCs w:val="18"/>
              </w:rPr>
              <w:t>1 model</w:t>
            </w:r>
            <w:r w:rsidRPr="001A7949">
              <w:rPr>
                <w:sz w:val="18"/>
                <w:szCs w:val="18"/>
              </w:rPr>
              <w:t xml:space="preserve">; Higher in </w:t>
            </w:r>
            <w:r>
              <w:rPr>
                <w:sz w:val="18"/>
                <w:szCs w:val="18"/>
              </w:rPr>
              <w:t>1 model</w:t>
            </w:r>
            <w:r w:rsidRPr="001A7949">
              <w:rPr>
                <w:sz w:val="18"/>
                <w:szCs w:val="18"/>
              </w:rPr>
              <w:t xml:space="preserve">; Lower in </w:t>
            </w:r>
            <w:r>
              <w:rPr>
                <w:sz w:val="18"/>
                <w:szCs w:val="18"/>
              </w:rPr>
              <w:t>1 model</w:t>
            </w:r>
          </w:p>
        </w:tc>
      </w:tr>
      <w:tr w:rsidR="00286B48" w:rsidRPr="001A7949" w14:paraId="41617841" w14:textId="77777777" w:rsidTr="004969EA">
        <w:trPr>
          <w:trHeight w:val="1223"/>
        </w:trPr>
        <w:tc>
          <w:tcPr>
            <w:tcW w:w="1278" w:type="dxa"/>
            <w:vMerge w:val="restart"/>
            <w:vAlign w:val="center"/>
          </w:tcPr>
          <w:p w14:paraId="6A281DF6" w14:textId="77777777" w:rsidR="00286B48" w:rsidRPr="001A7949" w:rsidRDefault="00286B48" w:rsidP="004969EA">
            <w:pPr>
              <w:rPr>
                <w:b/>
                <w:sz w:val="18"/>
                <w:szCs w:val="18"/>
              </w:rPr>
            </w:pPr>
            <w:r w:rsidRPr="001A7949">
              <w:rPr>
                <w:b/>
                <w:sz w:val="18"/>
                <w:szCs w:val="18"/>
              </w:rPr>
              <w:t>Land Use/Land Cover Change</w:t>
            </w:r>
          </w:p>
        </w:tc>
        <w:tc>
          <w:tcPr>
            <w:tcW w:w="1530" w:type="dxa"/>
          </w:tcPr>
          <w:p w14:paraId="20125317" w14:textId="77777777" w:rsidR="00286B48" w:rsidRPr="001A7949" w:rsidRDefault="00286B48" w:rsidP="004969EA">
            <w:pPr>
              <w:rPr>
                <w:b/>
                <w:sz w:val="18"/>
                <w:szCs w:val="18"/>
              </w:rPr>
            </w:pPr>
            <w:r w:rsidRPr="001A7949">
              <w:rPr>
                <w:b/>
                <w:sz w:val="18"/>
                <w:szCs w:val="18"/>
              </w:rPr>
              <w:t>Food/Feed Crops</w:t>
            </w:r>
          </w:p>
        </w:tc>
        <w:tc>
          <w:tcPr>
            <w:tcW w:w="1642" w:type="dxa"/>
            <w:shd w:val="clear" w:color="auto" w:fill="008000"/>
          </w:tcPr>
          <w:p w14:paraId="7A0A6255" w14:textId="77777777" w:rsidR="00286B48" w:rsidRPr="001A7949" w:rsidRDefault="00286B48" w:rsidP="004969EA">
            <w:pPr>
              <w:rPr>
                <w:color w:val="FFFFFF" w:themeColor="background1"/>
                <w:sz w:val="18"/>
                <w:szCs w:val="18"/>
              </w:rPr>
            </w:pPr>
            <w:r w:rsidRPr="001A7949">
              <w:rPr>
                <w:color w:val="FFFFFF" w:themeColor="background1"/>
                <w:sz w:val="18"/>
                <w:szCs w:val="18"/>
              </w:rPr>
              <w:t>Lower than SSP2 in all models</w:t>
            </w:r>
          </w:p>
        </w:tc>
        <w:tc>
          <w:tcPr>
            <w:tcW w:w="1643" w:type="dxa"/>
            <w:shd w:val="clear" w:color="auto" w:fill="008000"/>
          </w:tcPr>
          <w:p w14:paraId="7B6B53EE" w14:textId="77777777" w:rsidR="00286B48" w:rsidRPr="001A7949" w:rsidRDefault="00286B48" w:rsidP="004969EA">
            <w:pPr>
              <w:rPr>
                <w:color w:val="FFFFFF" w:themeColor="background1"/>
                <w:sz w:val="18"/>
                <w:szCs w:val="18"/>
              </w:rPr>
            </w:pPr>
            <w:r w:rsidRPr="001A7949">
              <w:rPr>
                <w:color w:val="FFFFFF" w:themeColor="background1"/>
                <w:sz w:val="18"/>
                <w:szCs w:val="18"/>
              </w:rPr>
              <w:t>Higher than SSP2 in all models</w:t>
            </w:r>
          </w:p>
        </w:tc>
        <w:tc>
          <w:tcPr>
            <w:tcW w:w="1642" w:type="dxa"/>
            <w:tcBorders>
              <w:bottom w:val="single" w:sz="4" w:space="0" w:color="auto"/>
            </w:tcBorders>
            <w:shd w:val="clear" w:color="auto" w:fill="008000"/>
          </w:tcPr>
          <w:p w14:paraId="5F7FD7CE" w14:textId="77777777" w:rsidR="00286B48" w:rsidRPr="001A7949" w:rsidRDefault="00286B48" w:rsidP="004969EA">
            <w:pPr>
              <w:rPr>
                <w:color w:val="FFFFFF" w:themeColor="background1"/>
                <w:sz w:val="18"/>
                <w:szCs w:val="18"/>
              </w:rPr>
            </w:pPr>
            <w:r w:rsidRPr="001A7949">
              <w:rPr>
                <w:color w:val="FFFFFF" w:themeColor="background1"/>
                <w:sz w:val="18"/>
                <w:szCs w:val="18"/>
              </w:rPr>
              <w:t>Similar to SSP2 in both models</w:t>
            </w:r>
          </w:p>
        </w:tc>
        <w:tc>
          <w:tcPr>
            <w:tcW w:w="1643" w:type="dxa"/>
            <w:shd w:val="clear" w:color="auto" w:fill="CCFFCC"/>
          </w:tcPr>
          <w:p w14:paraId="4686EDE6" w14:textId="77777777" w:rsidR="00286B48" w:rsidRPr="001A7949" w:rsidRDefault="00286B48" w:rsidP="004969EA">
            <w:pPr>
              <w:rPr>
                <w:sz w:val="18"/>
                <w:szCs w:val="18"/>
              </w:rPr>
            </w:pPr>
            <w:r w:rsidRPr="001A7949">
              <w:rPr>
                <w:sz w:val="18"/>
                <w:szCs w:val="18"/>
              </w:rPr>
              <w:t xml:space="preserve">Similar to </w:t>
            </w:r>
            <w:r>
              <w:rPr>
                <w:sz w:val="18"/>
                <w:szCs w:val="18"/>
              </w:rPr>
              <w:t>or lower</w:t>
            </w:r>
            <w:r w:rsidRPr="001A7949">
              <w:rPr>
                <w:sz w:val="18"/>
                <w:szCs w:val="18"/>
              </w:rPr>
              <w:t xml:space="preserve"> than SSP2 in </w:t>
            </w:r>
            <w:r>
              <w:rPr>
                <w:sz w:val="18"/>
                <w:szCs w:val="18"/>
              </w:rPr>
              <w:t>all models</w:t>
            </w:r>
          </w:p>
        </w:tc>
      </w:tr>
      <w:tr w:rsidR="00286B48" w:rsidRPr="001A7949" w14:paraId="6499E955" w14:textId="77777777" w:rsidTr="004969EA">
        <w:tc>
          <w:tcPr>
            <w:tcW w:w="1278" w:type="dxa"/>
            <w:vMerge/>
          </w:tcPr>
          <w:p w14:paraId="534F3E70" w14:textId="77777777" w:rsidR="00286B48" w:rsidRPr="001A7949" w:rsidRDefault="00286B48" w:rsidP="004969EA">
            <w:pPr>
              <w:rPr>
                <w:b/>
                <w:sz w:val="18"/>
                <w:szCs w:val="18"/>
              </w:rPr>
            </w:pPr>
          </w:p>
        </w:tc>
        <w:tc>
          <w:tcPr>
            <w:tcW w:w="1530" w:type="dxa"/>
          </w:tcPr>
          <w:p w14:paraId="221B2CF3" w14:textId="77777777" w:rsidR="00286B48" w:rsidRPr="001A7949" w:rsidRDefault="00286B48" w:rsidP="004969EA">
            <w:pPr>
              <w:rPr>
                <w:b/>
                <w:sz w:val="18"/>
                <w:szCs w:val="18"/>
              </w:rPr>
            </w:pPr>
            <w:r w:rsidRPr="001A7949">
              <w:rPr>
                <w:b/>
                <w:sz w:val="18"/>
                <w:szCs w:val="18"/>
              </w:rPr>
              <w:t>Energy Crops</w:t>
            </w:r>
          </w:p>
        </w:tc>
        <w:tc>
          <w:tcPr>
            <w:tcW w:w="1642" w:type="dxa"/>
            <w:shd w:val="clear" w:color="auto" w:fill="008000"/>
          </w:tcPr>
          <w:p w14:paraId="07982D17" w14:textId="77777777" w:rsidR="00286B48" w:rsidRPr="001A7949" w:rsidRDefault="00286B48" w:rsidP="004969EA">
            <w:pPr>
              <w:rPr>
                <w:color w:val="FFFFFF" w:themeColor="background1"/>
                <w:sz w:val="18"/>
                <w:szCs w:val="18"/>
              </w:rPr>
            </w:pPr>
            <w:r w:rsidRPr="001A7949">
              <w:rPr>
                <w:color w:val="FFFFFF" w:themeColor="background1"/>
                <w:sz w:val="18"/>
                <w:szCs w:val="18"/>
              </w:rPr>
              <w:t>Similar to SSP2 in all models</w:t>
            </w:r>
          </w:p>
        </w:tc>
        <w:tc>
          <w:tcPr>
            <w:tcW w:w="1643" w:type="dxa"/>
            <w:tcBorders>
              <w:bottom w:val="single" w:sz="4" w:space="0" w:color="auto"/>
            </w:tcBorders>
            <w:shd w:val="clear" w:color="auto" w:fill="008000"/>
          </w:tcPr>
          <w:p w14:paraId="7406716B" w14:textId="77777777" w:rsidR="00286B48" w:rsidRPr="001A7949" w:rsidRDefault="00286B48" w:rsidP="004969EA">
            <w:pPr>
              <w:rPr>
                <w:color w:val="FFFFFF" w:themeColor="background1"/>
                <w:sz w:val="18"/>
                <w:szCs w:val="18"/>
              </w:rPr>
            </w:pPr>
            <w:r w:rsidRPr="001A7949">
              <w:rPr>
                <w:color w:val="FFFFFF" w:themeColor="background1"/>
                <w:sz w:val="18"/>
                <w:szCs w:val="18"/>
              </w:rPr>
              <w:t>Similar to SSP2 in all models</w:t>
            </w:r>
          </w:p>
        </w:tc>
        <w:tc>
          <w:tcPr>
            <w:tcW w:w="1642" w:type="dxa"/>
            <w:shd w:val="clear" w:color="auto" w:fill="auto"/>
          </w:tcPr>
          <w:p w14:paraId="3639FA33" w14:textId="77777777" w:rsidR="00286B48" w:rsidRPr="001A7949" w:rsidRDefault="00286B48" w:rsidP="004969EA">
            <w:pPr>
              <w:rPr>
                <w:sz w:val="18"/>
                <w:szCs w:val="18"/>
              </w:rPr>
            </w:pPr>
            <w:r w:rsidRPr="001A7949">
              <w:rPr>
                <w:sz w:val="18"/>
                <w:szCs w:val="18"/>
              </w:rPr>
              <w:t xml:space="preserve">Higher than SSP2 in </w:t>
            </w:r>
            <w:r>
              <w:rPr>
                <w:sz w:val="18"/>
                <w:szCs w:val="18"/>
              </w:rPr>
              <w:t>1 model</w:t>
            </w:r>
            <w:r w:rsidRPr="001A7949">
              <w:rPr>
                <w:sz w:val="18"/>
                <w:szCs w:val="18"/>
              </w:rPr>
              <w:t xml:space="preserve">; Lower in </w:t>
            </w:r>
            <w:r>
              <w:rPr>
                <w:sz w:val="18"/>
                <w:szCs w:val="18"/>
              </w:rPr>
              <w:t>1 model</w:t>
            </w:r>
          </w:p>
        </w:tc>
        <w:tc>
          <w:tcPr>
            <w:tcW w:w="1643" w:type="dxa"/>
            <w:tcBorders>
              <w:bottom w:val="single" w:sz="4" w:space="0" w:color="auto"/>
            </w:tcBorders>
          </w:tcPr>
          <w:p w14:paraId="694058C2" w14:textId="3ED1FCAE" w:rsidR="00286B48" w:rsidRPr="001A7949" w:rsidRDefault="00286B48" w:rsidP="004969EA">
            <w:pPr>
              <w:rPr>
                <w:sz w:val="18"/>
                <w:szCs w:val="18"/>
              </w:rPr>
            </w:pPr>
            <w:r w:rsidRPr="001A7949">
              <w:rPr>
                <w:sz w:val="18"/>
                <w:szCs w:val="18"/>
              </w:rPr>
              <w:t xml:space="preserve">Similar to SSP2 in </w:t>
            </w:r>
            <w:r>
              <w:rPr>
                <w:sz w:val="18"/>
                <w:szCs w:val="18"/>
              </w:rPr>
              <w:t>1 model</w:t>
            </w:r>
            <w:r w:rsidRPr="001A7949">
              <w:rPr>
                <w:sz w:val="18"/>
                <w:szCs w:val="18"/>
              </w:rPr>
              <w:t xml:space="preserve">; Lower </w:t>
            </w:r>
            <w:r w:rsidR="00F77EA1">
              <w:rPr>
                <w:sz w:val="18"/>
                <w:szCs w:val="18"/>
              </w:rPr>
              <w:t xml:space="preserve">in </w:t>
            </w:r>
            <w:r>
              <w:rPr>
                <w:sz w:val="18"/>
                <w:szCs w:val="18"/>
              </w:rPr>
              <w:t>1 model</w:t>
            </w:r>
            <w:r w:rsidRPr="001A7949">
              <w:rPr>
                <w:sz w:val="18"/>
                <w:szCs w:val="18"/>
              </w:rPr>
              <w:t xml:space="preserve">; Higher in </w:t>
            </w:r>
            <w:r>
              <w:rPr>
                <w:sz w:val="18"/>
                <w:szCs w:val="18"/>
              </w:rPr>
              <w:t>1 model</w:t>
            </w:r>
          </w:p>
        </w:tc>
      </w:tr>
      <w:tr w:rsidR="00286B48" w:rsidRPr="001A7949" w14:paraId="5E9F28E6" w14:textId="77777777" w:rsidTr="004969EA">
        <w:tc>
          <w:tcPr>
            <w:tcW w:w="1278" w:type="dxa"/>
            <w:vMerge/>
          </w:tcPr>
          <w:p w14:paraId="7F99606E" w14:textId="77777777" w:rsidR="00286B48" w:rsidRPr="001A7949" w:rsidRDefault="00286B48" w:rsidP="004969EA">
            <w:pPr>
              <w:rPr>
                <w:b/>
                <w:sz w:val="18"/>
                <w:szCs w:val="18"/>
              </w:rPr>
            </w:pPr>
          </w:p>
        </w:tc>
        <w:tc>
          <w:tcPr>
            <w:tcW w:w="1530" w:type="dxa"/>
          </w:tcPr>
          <w:p w14:paraId="3A155426" w14:textId="77777777" w:rsidR="00286B48" w:rsidRPr="001A7949" w:rsidRDefault="00286B48" w:rsidP="004969EA">
            <w:pPr>
              <w:rPr>
                <w:b/>
                <w:sz w:val="18"/>
                <w:szCs w:val="18"/>
              </w:rPr>
            </w:pPr>
            <w:r w:rsidRPr="001A7949">
              <w:rPr>
                <w:b/>
                <w:sz w:val="18"/>
                <w:szCs w:val="18"/>
              </w:rPr>
              <w:t>Forest</w:t>
            </w:r>
          </w:p>
        </w:tc>
        <w:tc>
          <w:tcPr>
            <w:tcW w:w="1642" w:type="dxa"/>
            <w:tcBorders>
              <w:bottom w:val="single" w:sz="4" w:space="0" w:color="auto"/>
            </w:tcBorders>
            <w:shd w:val="clear" w:color="auto" w:fill="008000"/>
          </w:tcPr>
          <w:p w14:paraId="5F49F6C4" w14:textId="77777777" w:rsidR="00286B48" w:rsidRPr="001A7949" w:rsidRDefault="00286B48" w:rsidP="004969EA">
            <w:pPr>
              <w:rPr>
                <w:color w:val="FFFFFF" w:themeColor="background1"/>
                <w:sz w:val="18"/>
                <w:szCs w:val="18"/>
              </w:rPr>
            </w:pPr>
            <w:r w:rsidRPr="001A7949">
              <w:rPr>
                <w:color w:val="FFFFFF" w:themeColor="background1"/>
                <w:sz w:val="18"/>
                <w:szCs w:val="18"/>
              </w:rPr>
              <w:t>Higher than SSP2 in all models</w:t>
            </w:r>
          </w:p>
        </w:tc>
        <w:tc>
          <w:tcPr>
            <w:tcW w:w="1643" w:type="dxa"/>
            <w:shd w:val="clear" w:color="auto" w:fill="CCFFCC"/>
          </w:tcPr>
          <w:p w14:paraId="338CA98D" w14:textId="77777777" w:rsidR="00286B48" w:rsidRPr="001A7949" w:rsidRDefault="00286B48" w:rsidP="004969EA">
            <w:pPr>
              <w:rPr>
                <w:sz w:val="18"/>
                <w:szCs w:val="18"/>
              </w:rPr>
            </w:pPr>
            <w:r w:rsidRPr="001A7949">
              <w:rPr>
                <w:sz w:val="18"/>
                <w:szCs w:val="18"/>
              </w:rPr>
              <w:t>Lower than SSP2 in 3 of 4 models</w:t>
            </w:r>
          </w:p>
        </w:tc>
        <w:tc>
          <w:tcPr>
            <w:tcW w:w="1642" w:type="dxa"/>
            <w:shd w:val="clear" w:color="auto" w:fill="auto"/>
          </w:tcPr>
          <w:p w14:paraId="365152BA" w14:textId="77777777" w:rsidR="00286B48" w:rsidRPr="001A7949" w:rsidRDefault="00286B48" w:rsidP="004969EA">
            <w:pPr>
              <w:rPr>
                <w:sz w:val="18"/>
                <w:szCs w:val="18"/>
              </w:rPr>
            </w:pPr>
            <w:r w:rsidRPr="001A7949">
              <w:rPr>
                <w:sz w:val="18"/>
                <w:szCs w:val="18"/>
              </w:rPr>
              <w:t xml:space="preserve">Similar to SSP2 in </w:t>
            </w:r>
            <w:r>
              <w:rPr>
                <w:sz w:val="18"/>
                <w:szCs w:val="18"/>
              </w:rPr>
              <w:t>1 model</w:t>
            </w:r>
            <w:r w:rsidRPr="001A7949">
              <w:rPr>
                <w:sz w:val="18"/>
                <w:szCs w:val="18"/>
              </w:rPr>
              <w:t xml:space="preserve">; Lower in </w:t>
            </w:r>
            <w:r>
              <w:rPr>
                <w:sz w:val="18"/>
                <w:szCs w:val="18"/>
              </w:rPr>
              <w:t>1 model</w:t>
            </w:r>
          </w:p>
        </w:tc>
        <w:tc>
          <w:tcPr>
            <w:tcW w:w="1643" w:type="dxa"/>
            <w:tcBorders>
              <w:bottom w:val="single" w:sz="4" w:space="0" w:color="auto"/>
            </w:tcBorders>
            <w:shd w:val="clear" w:color="auto" w:fill="CCFFCC"/>
          </w:tcPr>
          <w:p w14:paraId="68DF6E81" w14:textId="77777777" w:rsidR="00286B48" w:rsidRPr="001A7949" w:rsidRDefault="00286B48" w:rsidP="004969EA">
            <w:pPr>
              <w:rPr>
                <w:sz w:val="18"/>
                <w:szCs w:val="18"/>
              </w:rPr>
            </w:pPr>
            <w:r w:rsidRPr="001A7949">
              <w:rPr>
                <w:sz w:val="18"/>
                <w:szCs w:val="18"/>
              </w:rPr>
              <w:t xml:space="preserve">Higher </w:t>
            </w:r>
            <w:r>
              <w:rPr>
                <w:sz w:val="18"/>
                <w:szCs w:val="18"/>
              </w:rPr>
              <w:t>than SSP2 in 2 of 3 models</w:t>
            </w:r>
          </w:p>
        </w:tc>
      </w:tr>
      <w:tr w:rsidR="00286B48" w:rsidRPr="001A7949" w14:paraId="4105F9C2" w14:textId="77777777" w:rsidTr="004969EA">
        <w:tc>
          <w:tcPr>
            <w:tcW w:w="1278" w:type="dxa"/>
            <w:vMerge/>
          </w:tcPr>
          <w:p w14:paraId="1AF0D7D3" w14:textId="77777777" w:rsidR="00286B48" w:rsidRPr="001A7949" w:rsidRDefault="00286B48" w:rsidP="004969EA">
            <w:pPr>
              <w:rPr>
                <w:b/>
                <w:sz w:val="18"/>
                <w:szCs w:val="18"/>
              </w:rPr>
            </w:pPr>
          </w:p>
        </w:tc>
        <w:tc>
          <w:tcPr>
            <w:tcW w:w="1530" w:type="dxa"/>
          </w:tcPr>
          <w:p w14:paraId="24946C15" w14:textId="77777777" w:rsidR="00286B48" w:rsidRPr="001A7949" w:rsidRDefault="00286B48" w:rsidP="004969EA">
            <w:pPr>
              <w:rPr>
                <w:b/>
                <w:sz w:val="18"/>
                <w:szCs w:val="18"/>
              </w:rPr>
            </w:pPr>
            <w:r w:rsidRPr="001A7949">
              <w:rPr>
                <w:b/>
                <w:sz w:val="18"/>
                <w:szCs w:val="18"/>
              </w:rPr>
              <w:t>Pasture</w:t>
            </w:r>
          </w:p>
        </w:tc>
        <w:tc>
          <w:tcPr>
            <w:tcW w:w="1642" w:type="dxa"/>
            <w:shd w:val="clear" w:color="auto" w:fill="auto"/>
          </w:tcPr>
          <w:p w14:paraId="6D031E78" w14:textId="77777777" w:rsidR="00286B48" w:rsidRPr="001A7949" w:rsidRDefault="00286B48" w:rsidP="004969EA">
            <w:pPr>
              <w:rPr>
                <w:sz w:val="18"/>
                <w:szCs w:val="18"/>
              </w:rPr>
            </w:pPr>
            <w:r w:rsidRPr="001A7949">
              <w:rPr>
                <w:sz w:val="18"/>
                <w:szCs w:val="18"/>
              </w:rPr>
              <w:t xml:space="preserve">Similar to SSP2 in </w:t>
            </w:r>
            <w:r>
              <w:rPr>
                <w:sz w:val="18"/>
                <w:szCs w:val="18"/>
              </w:rPr>
              <w:t>2 models</w:t>
            </w:r>
            <w:r w:rsidRPr="001A7949">
              <w:rPr>
                <w:sz w:val="18"/>
                <w:szCs w:val="18"/>
              </w:rPr>
              <w:t xml:space="preserve">; Lower in </w:t>
            </w:r>
            <w:r>
              <w:rPr>
                <w:sz w:val="18"/>
                <w:szCs w:val="18"/>
              </w:rPr>
              <w:t>3 models</w:t>
            </w:r>
          </w:p>
        </w:tc>
        <w:tc>
          <w:tcPr>
            <w:tcW w:w="1643" w:type="dxa"/>
            <w:tcBorders>
              <w:bottom w:val="single" w:sz="4" w:space="0" w:color="auto"/>
            </w:tcBorders>
            <w:shd w:val="clear" w:color="auto" w:fill="CCFFCC"/>
          </w:tcPr>
          <w:p w14:paraId="2BB4CE51" w14:textId="77777777" w:rsidR="00286B48" w:rsidRPr="001A7949" w:rsidRDefault="00286B48" w:rsidP="004969EA">
            <w:pPr>
              <w:rPr>
                <w:sz w:val="18"/>
                <w:szCs w:val="18"/>
              </w:rPr>
            </w:pPr>
            <w:r w:rsidRPr="001A7949">
              <w:rPr>
                <w:sz w:val="18"/>
                <w:szCs w:val="18"/>
              </w:rPr>
              <w:t>Higher than SSP2 in 3 of 4 models</w:t>
            </w:r>
          </w:p>
        </w:tc>
        <w:tc>
          <w:tcPr>
            <w:tcW w:w="1642" w:type="dxa"/>
            <w:tcBorders>
              <w:bottom w:val="single" w:sz="4" w:space="0" w:color="auto"/>
            </w:tcBorders>
            <w:shd w:val="clear" w:color="auto" w:fill="auto"/>
          </w:tcPr>
          <w:p w14:paraId="525BC27B" w14:textId="77777777" w:rsidR="00286B48" w:rsidRPr="001A7949" w:rsidRDefault="00286B48" w:rsidP="004969EA">
            <w:pPr>
              <w:rPr>
                <w:sz w:val="18"/>
                <w:szCs w:val="18"/>
              </w:rPr>
            </w:pPr>
            <w:r w:rsidRPr="001A7949">
              <w:rPr>
                <w:sz w:val="18"/>
                <w:szCs w:val="18"/>
              </w:rPr>
              <w:t xml:space="preserve">Similar to SSP2 in </w:t>
            </w:r>
            <w:r>
              <w:rPr>
                <w:sz w:val="18"/>
                <w:szCs w:val="18"/>
              </w:rPr>
              <w:t>1 model</w:t>
            </w:r>
            <w:r w:rsidRPr="001A7949">
              <w:rPr>
                <w:sz w:val="18"/>
                <w:szCs w:val="18"/>
              </w:rPr>
              <w:t xml:space="preserve">; Higher in </w:t>
            </w:r>
            <w:r>
              <w:rPr>
                <w:sz w:val="18"/>
                <w:szCs w:val="18"/>
              </w:rPr>
              <w:t>1 model</w:t>
            </w:r>
          </w:p>
        </w:tc>
        <w:tc>
          <w:tcPr>
            <w:tcW w:w="1643" w:type="dxa"/>
            <w:tcBorders>
              <w:bottom w:val="single" w:sz="4" w:space="0" w:color="auto"/>
            </w:tcBorders>
            <w:shd w:val="clear" w:color="auto" w:fill="CCFFCC"/>
          </w:tcPr>
          <w:p w14:paraId="2540C659" w14:textId="77777777" w:rsidR="00286B48" w:rsidRPr="001A7949" w:rsidRDefault="00286B48" w:rsidP="004969EA">
            <w:pPr>
              <w:rPr>
                <w:sz w:val="18"/>
                <w:szCs w:val="18"/>
              </w:rPr>
            </w:pPr>
            <w:r w:rsidRPr="001A7949">
              <w:rPr>
                <w:sz w:val="18"/>
                <w:szCs w:val="18"/>
              </w:rPr>
              <w:t xml:space="preserve">Slightly lower than SSP2 in </w:t>
            </w:r>
            <w:r>
              <w:rPr>
                <w:sz w:val="18"/>
                <w:szCs w:val="18"/>
              </w:rPr>
              <w:t>2 of 3 models</w:t>
            </w:r>
          </w:p>
        </w:tc>
      </w:tr>
      <w:tr w:rsidR="00286B48" w:rsidRPr="001A7949" w14:paraId="3B9692CB" w14:textId="77777777" w:rsidTr="004969EA">
        <w:tc>
          <w:tcPr>
            <w:tcW w:w="1278" w:type="dxa"/>
          </w:tcPr>
          <w:p w14:paraId="1D4B4E83" w14:textId="77777777" w:rsidR="00286B48" w:rsidRPr="001A7949" w:rsidRDefault="00286B48" w:rsidP="004969EA">
            <w:pPr>
              <w:rPr>
                <w:b/>
                <w:sz w:val="18"/>
                <w:szCs w:val="18"/>
              </w:rPr>
            </w:pPr>
            <w:r w:rsidRPr="001A7949">
              <w:rPr>
                <w:b/>
                <w:sz w:val="18"/>
                <w:szCs w:val="18"/>
              </w:rPr>
              <w:t>Yield</w:t>
            </w:r>
          </w:p>
        </w:tc>
        <w:tc>
          <w:tcPr>
            <w:tcW w:w="1530" w:type="dxa"/>
          </w:tcPr>
          <w:p w14:paraId="6D0FB28E" w14:textId="77777777" w:rsidR="00286B48" w:rsidRPr="001A7949" w:rsidRDefault="00286B48" w:rsidP="004969EA">
            <w:pPr>
              <w:rPr>
                <w:b/>
                <w:sz w:val="18"/>
                <w:szCs w:val="18"/>
              </w:rPr>
            </w:pPr>
            <w:r w:rsidRPr="001A7949">
              <w:rPr>
                <w:b/>
                <w:sz w:val="18"/>
                <w:szCs w:val="18"/>
              </w:rPr>
              <w:t>Cereal Crops</w:t>
            </w:r>
          </w:p>
        </w:tc>
        <w:tc>
          <w:tcPr>
            <w:tcW w:w="1642" w:type="dxa"/>
            <w:tcBorders>
              <w:bottom w:val="single" w:sz="4" w:space="0" w:color="auto"/>
            </w:tcBorders>
            <w:shd w:val="clear" w:color="auto" w:fill="auto"/>
          </w:tcPr>
          <w:p w14:paraId="0E41EFEB" w14:textId="77777777" w:rsidR="00286B48" w:rsidRPr="001A7949" w:rsidRDefault="00286B48" w:rsidP="004969EA">
            <w:pPr>
              <w:rPr>
                <w:sz w:val="18"/>
                <w:szCs w:val="18"/>
              </w:rPr>
            </w:pPr>
            <w:r w:rsidRPr="001A7949">
              <w:rPr>
                <w:sz w:val="18"/>
                <w:szCs w:val="18"/>
              </w:rPr>
              <w:t xml:space="preserve">Higher than SSP2 in </w:t>
            </w:r>
            <w:r>
              <w:rPr>
                <w:sz w:val="18"/>
                <w:szCs w:val="18"/>
              </w:rPr>
              <w:t>3</w:t>
            </w:r>
            <w:r w:rsidRPr="001A7949">
              <w:rPr>
                <w:sz w:val="18"/>
                <w:szCs w:val="18"/>
              </w:rPr>
              <w:t xml:space="preserve">; Lower in </w:t>
            </w:r>
            <w:r>
              <w:rPr>
                <w:sz w:val="18"/>
                <w:szCs w:val="18"/>
              </w:rPr>
              <w:t>2 models</w:t>
            </w:r>
          </w:p>
        </w:tc>
        <w:tc>
          <w:tcPr>
            <w:tcW w:w="1643" w:type="dxa"/>
            <w:tcBorders>
              <w:bottom w:val="single" w:sz="4" w:space="0" w:color="auto"/>
            </w:tcBorders>
            <w:shd w:val="clear" w:color="auto" w:fill="008000"/>
          </w:tcPr>
          <w:p w14:paraId="129DC771" w14:textId="77777777" w:rsidR="00286B48" w:rsidRPr="001A7949" w:rsidRDefault="00286B48" w:rsidP="004969EA">
            <w:pPr>
              <w:rPr>
                <w:color w:val="FFFFFF" w:themeColor="background1"/>
                <w:sz w:val="18"/>
                <w:szCs w:val="18"/>
              </w:rPr>
            </w:pPr>
            <w:r w:rsidRPr="001A7949">
              <w:rPr>
                <w:color w:val="FFFFFF" w:themeColor="background1"/>
                <w:sz w:val="18"/>
                <w:szCs w:val="18"/>
              </w:rPr>
              <w:t>Lower than SSP2 in all models</w:t>
            </w:r>
          </w:p>
        </w:tc>
        <w:tc>
          <w:tcPr>
            <w:tcW w:w="1642" w:type="dxa"/>
            <w:tcBorders>
              <w:bottom w:val="single" w:sz="4" w:space="0" w:color="auto"/>
            </w:tcBorders>
            <w:shd w:val="clear" w:color="auto" w:fill="008000"/>
          </w:tcPr>
          <w:p w14:paraId="49F8EEF3" w14:textId="77777777" w:rsidR="00286B48" w:rsidRPr="001A7949" w:rsidRDefault="00286B48" w:rsidP="004969EA">
            <w:pPr>
              <w:rPr>
                <w:color w:val="FFFFFF" w:themeColor="background1"/>
                <w:sz w:val="18"/>
                <w:szCs w:val="18"/>
              </w:rPr>
            </w:pPr>
            <w:r w:rsidRPr="001A7949">
              <w:rPr>
                <w:color w:val="FFFFFF" w:themeColor="background1"/>
                <w:sz w:val="18"/>
                <w:szCs w:val="18"/>
              </w:rPr>
              <w:t>Lower than SSP2 in both models</w:t>
            </w:r>
          </w:p>
        </w:tc>
        <w:tc>
          <w:tcPr>
            <w:tcW w:w="1643" w:type="dxa"/>
            <w:tcBorders>
              <w:bottom w:val="single" w:sz="4" w:space="0" w:color="auto"/>
            </w:tcBorders>
            <w:shd w:val="clear" w:color="auto" w:fill="008000"/>
          </w:tcPr>
          <w:p w14:paraId="6DF3C341" w14:textId="77777777" w:rsidR="00286B48" w:rsidRPr="001A7949" w:rsidRDefault="00286B48" w:rsidP="004969EA">
            <w:pPr>
              <w:rPr>
                <w:color w:val="FFFFFF" w:themeColor="background1"/>
                <w:sz w:val="18"/>
                <w:szCs w:val="18"/>
              </w:rPr>
            </w:pPr>
            <w:r w:rsidRPr="001A7949">
              <w:rPr>
                <w:color w:val="FFFFFF" w:themeColor="background1"/>
                <w:sz w:val="18"/>
                <w:szCs w:val="18"/>
              </w:rPr>
              <w:t>Higher than SSP2 in all models</w:t>
            </w:r>
          </w:p>
        </w:tc>
      </w:tr>
      <w:tr w:rsidR="00286B48" w:rsidRPr="001A7949" w14:paraId="2C0FA4A1" w14:textId="77777777" w:rsidTr="004969EA">
        <w:tc>
          <w:tcPr>
            <w:tcW w:w="1278" w:type="dxa"/>
            <w:vMerge w:val="restart"/>
          </w:tcPr>
          <w:p w14:paraId="1A8A4B18" w14:textId="77777777" w:rsidR="00286B48" w:rsidRPr="001A7949" w:rsidRDefault="00286B48" w:rsidP="004969EA">
            <w:pPr>
              <w:rPr>
                <w:b/>
                <w:sz w:val="18"/>
                <w:szCs w:val="18"/>
              </w:rPr>
            </w:pPr>
            <w:r w:rsidRPr="001A7949">
              <w:rPr>
                <w:b/>
                <w:sz w:val="18"/>
                <w:szCs w:val="18"/>
              </w:rPr>
              <w:t>Emissions</w:t>
            </w:r>
          </w:p>
        </w:tc>
        <w:tc>
          <w:tcPr>
            <w:tcW w:w="1530" w:type="dxa"/>
          </w:tcPr>
          <w:p w14:paraId="466F86EC" w14:textId="77777777" w:rsidR="00286B48" w:rsidRPr="001A7949" w:rsidRDefault="00286B48" w:rsidP="004969EA">
            <w:pPr>
              <w:rPr>
                <w:b/>
                <w:sz w:val="18"/>
                <w:szCs w:val="18"/>
              </w:rPr>
            </w:pPr>
            <w:r w:rsidRPr="001A7949">
              <w:rPr>
                <w:b/>
                <w:sz w:val="18"/>
                <w:szCs w:val="18"/>
              </w:rPr>
              <w:t>Land Use Change CO</w:t>
            </w:r>
            <w:r w:rsidRPr="001A7949">
              <w:rPr>
                <w:b/>
                <w:sz w:val="18"/>
                <w:szCs w:val="18"/>
                <w:vertAlign w:val="subscript"/>
              </w:rPr>
              <w:t>2</w:t>
            </w:r>
          </w:p>
        </w:tc>
        <w:tc>
          <w:tcPr>
            <w:tcW w:w="1642" w:type="dxa"/>
            <w:tcBorders>
              <w:bottom w:val="single" w:sz="4" w:space="0" w:color="auto"/>
            </w:tcBorders>
            <w:shd w:val="clear" w:color="auto" w:fill="008000"/>
          </w:tcPr>
          <w:p w14:paraId="3F97F635" w14:textId="77777777" w:rsidR="00286B48" w:rsidRPr="001A7949" w:rsidRDefault="00286B48" w:rsidP="004969EA">
            <w:pPr>
              <w:rPr>
                <w:color w:val="FFFFFF" w:themeColor="background1"/>
                <w:sz w:val="18"/>
                <w:szCs w:val="18"/>
              </w:rPr>
            </w:pPr>
            <w:r w:rsidRPr="001A7949">
              <w:rPr>
                <w:color w:val="FFFFFF" w:themeColor="background1"/>
                <w:sz w:val="18"/>
                <w:szCs w:val="18"/>
              </w:rPr>
              <w:t>Lower than SSP2 in all models</w:t>
            </w:r>
          </w:p>
        </w:tc>
        <w:tc>
          <w:tcPr>
            <w:tcW w:w="1643" w:type="dxa"/>
            <w:tcBorders>
              <w:bottom w:val="single" w:sz="4" w:space="0" w:color="auto"/>
            </w:tcBorders>
            <w:shd w:val="clear" w:color="auto" w:fill="008000"/>
          </w:tcPr>
          <w:p w14:paraId="43CD2D5D" w14:textId="77777777" w:rsidR="00286B48" w:rsidRPr="001A7949" w:rsidRDefault="00286B48" w:rsidP="004969EA">
            <w:pPr>
              <w:rPr>
                <w:color w:val="FFFFFF" w:themeColor="background1"/>
                <w:sz w:val="18"/>
                <w:szCs w:val="18"/>
              </w:rPr>
            </w:pPr>
            <w:r w:rsidRPr="001A7949">
              <w:rPr>
                <w:color w:val="FFFFFF" w:themeColor="background1"/>
                <w:sz w:val="18"/>
                <w:szCs w:val="18"/>
              </w:rPr>
              <w:t>Higher than SSP2 in all models</w:t>
            </w:r>
          </w:p>
        </w:tc>
        <w:tc>
          <w:tcPr>
            <w:tcW w:w="1642" w:type="dxa"/>
            <w:tcBorders>
              <w:bottom w:val="single" w:sz="4" w:space="0" w:color="auto"/>
            </w:tcBorders>
            <w:shd w:val="clear" w:color="auto" w:fill="008000"/>
          </w:tcPr>
          <w:p w14:paraId="31522805" w14:textId="77777777" w:rsidR="00286B48" w:rsidRPr="001A7949" w:rsidRDefault="00286B48" w:rsidP="004969EA">
            <w:pPr>
              <w:rPr>
                <w:color w:val="FFFFFF" w:themeColor="background1"/>
                <w:sz w:val="18"/>
                <w:szCs w:val="18"/>
              </w:rPr>
            </w:pPr>
            <w:r w:rsidRPr="001A7949">
              <w:rPr>
                <w:color w:val="FFFFFF" w:themeColor="background1"/>
                <w:sz w:val="18"/>
                <w:szCs w:val="18"/>
              </w:rPr>
              <w:t>Higher than SSP2 in both models</w:t>
            </w:r>
          </w:p>
        </w:tc>
        <w:tc>
          <w:tcPr>
            <w:tcW w:w="1643" w:type="dxa"/>
            <w:tcBorders>
              <w:bottom w:val="single" w:sz="4" w:space="0" w:color="auto"/>
            </w:tcBorders>
            <w:shd w:val="clear" w:color="auto" w:fill="CCFFCC"/>
          </w:tcPr>
          <w:p w14:paraId="37D61C7C" w14:textId="77777777" w:rsidR="00286B48" w:rsidRPr="001A7949" w:rsidRDefault="00286B48" w:rsidP="004969EA">
            <w:pPr>
              <w:rPr>
                <w:sz w:val="18"/>
                <w:szCs w:val="18"/>
              </w:rPr>
            </w:pPr>
            <w:r w:rsidRPr="001A7949">
              <w:rPr>
                <w:sz w:val="18"/>
                <w:szCs w:val="18"/>
              </w:rPr>
              <w:t>Similar to or lower than SSP2 in all models</w:t>
            </w:r>
          </w:p>
        </w:tc>
      </w:tr>
      <w:tr w:rsidR="00286B48" w:rsidRPr="001A7949" w14:paraId="3C66E69A" w14:textId="77777777" w:rsidTr="004969EA">
        <w:tc>
          <w:tcPr>
            <w:tcW w:w="1278" w:type="dxa"/>
            <w:vMerge/>
          </w:tcPr>
          <w:p w14:paraId="6F2B7752" w14:textId="77777777" w:rsidR="00286B48" w:rsidRPr="001A7949" w:rsidRDefault="00286B48" w:rsidP="004969EA">
            <w:pPr>
              <w:rPr>
                <w:b/>
                <w:sz w:val="18"/>
                <w:szCs w:val="18"/>
              </w:rPr>
            </w:pPr>
          </w:p>
        </w:tc>
        <w:tc>
          <w:tcPr>
            <w:tcW w:w="1530" w:type="dxa"/>
          </w:tcPr>
          <w:p w14:paraId="718D85E3" w14:textId="77777777" w:rsidR="00286B48" w:rsidRPr="001A7949" w:rsidRDefault="00286B48" w:rsidP="004969EA">
            <w:pPr>
              <w:rPr>
                <w:b/>
                <w:sz w:val="18"/>
                <w:szCs w:val="18"/>
              </w:rPr>
            </w:pPr>
            <w:r w:rsidRPr="001A7949">
              <w:rPr>
                <w:b/>
                <w:sz w:val="18"/>
                <w:szCs w:val="18"/>
              </w:rPr>
              <w:t>CH</w:t>
            </w:r>
            <w:r w:rsidRPr="001A7949">
              <w:rPr>
                <w:b/>
                <w:sz w:val="18"/>
                <w:szCs w:val="18"/>
                <w:vertAlign w:val="subscript"/>
              </w:rPr>
              <w:t>4</w:t>
            </w:r>
          </w:p>
        </w:tc>
        <w:tc>
          <w:tcPr>
            <w:tcW w:w="1642" w:type="dxa"/>
            <w:tcBorders>
              <w:bottom w:val="single" w:sz="4" w:space="0" w:color="auto"/>
            </w:tcBorders>
            <w:shd w:val="clear" w:color="auto" w:fill="008000"/>
          </w:tcPr>
          <w:p w14:paraId="5D565478" w14:textId="77777777" w:rsidR="00286B48" w:rsidRPr="001A7949" w:rsidRDefault="00286B48" w:rsidP="004969EA">
            <w:pPr>
              <w:rPr>
                <w:sz w:val="18"/>
                <w:szCs w:val="18"/>
              </w:rPr>
            </w:pPr>
            <w:r w:rsidRPr="001A7949">
              <w:rPr>
                <w:color w:val="FFFFFF" w:themeColor="background1"/>
                <w:sz w:val="18"/>
                <w:szCs w:val="18"/>
              </w:rPr>
              <w:t>Lower than SSP2 in all models</w:t>
            </w:r>
          </w:p>
        </w:tc>
        <w:tc>
          <w:tcPr>
            <w:tcW w:w="1643" w:type="dxa"/>
            <w:tcBorders>
              <w:bottom w:val="single" w:sz="4" w:space="0" w:color="auto"/>
            </w:tcBorders>
            <w:shd w:val="clear" w:color="auto" w:fill="008000"/>
          </w:tcPr>
          <w:p w14:paraId="53F354F0" w14:textId="77777777" w:rsidR="00286B48" w:rsidRPr="001A7949" w:rsidRDefault="00286B48" w:rsidP="004969EA">
            <w:pPr>
              <w:rPr>
                <w:color w:val="FFFFFF" w:themeColor="background1"/>
                <w:sz w:val="18"/>
                <w:szCs w:val="18"/>
              </w:rPr>
            </w:pPr>
            <w:r w:rsidRPr="001A7949">
              <w:rPr>
                <w:color w:val="FFFFFF" w:themeColor="background1"/>
                <w:sz w:val="18"/>
                <w:szCs w:val="18"/>
              </w:rPr>
              <w:t>Higher than SSP2 in all models</w:t>
            </w:r>
          </w:p>
        </w:tc>
        <w:tc>
          <w:tcPr>
            <w:tcW w:w="1642" w:type="dxa"/>
            <w:shd w:val="clear" w:color="auto" w:fill="008000"/>
          </w:tcPr>
          <w:p w14:paraId="390E50C2" w14:textId="77777777" w:rsidR="00286B48" w:rsidRPr="001A7949" w:rsidRDefault="00286B48" w:rsidP="004969EA">
            <w:pPr>
              <w:rPr>
                <w:color w:val="FFFFFF" w:themeColor="background1"/>
                <w:sz w:val="18"/>
                <w:szCs w:val="18"/>
              </w:rPr>
            </w:pPr>
            <w:r w:rsidRPr="001A7949">
              <w:rPr>
                <w:color w:val="FFFFFF" w:themeColor="background1"/>
                <w:sz w:val="18"/>
                <w:szCs w:val="18"/>
              </w:rPr>
              <w:t>Lower than SSP2 in both models</w:t>
            </w:r>
          </w:p>
        </w:tc>
        <w:tc>
          <w:tcPr>
            <w:tcW w:w="1643" w:type="dxa"/>
            <w:tcBorders>
              <w:bottom w:val="single" w:sz="4" w:space="0" w:color="auto"/>
            </w:tcBorders>
            <w:shd w:val="clear" w:color="auto" w:fill="008000"/>
          </w:tcPr>
          <w:p w14:paraId="753CE695" w14:textId="77777777" w:rsidR="00286B48" w:rsidRPr="001A7949" w:rsidRDefault="00286B48" w:rsidP="004969EA">
            <w:pPr>
              <w:rPr>
                <w:sz w:val="18"/>
                <w:szCs w:val="18"/>
              </w:rPr>
            </w:pPr>
            <w:r w:rsidRPr="001A7949">
              <w:rPr>
                <w:color w:val="FFFFFF" w:themeColor="background1"/>
                <w:sz w:val="18"/>
                <w:szCs w:val="18"/>
              </w:rPr>
              <w:t xml:space="preserve">Lower than SSP2 in </w:t>
            </w:r>
            <w:r>
              <w:rPr>
                <w:color w:val="FFFFFF" w:themeColor="background1"/>
                <w:sz w:val="18"/>
                <w:szCs w:val="18"/>
              </w:rPr>
              <w:t>all</w:t>
            </w:r>
            <w:r w:rsidRPr="001A7949">
              <w:rPr>
                <w:color w:val="FFFFFF" w:themeColor="background1"/>
                <w:sz w:val="18"/>
                <w:szCs w:val="18"/>
              </w:rPr>
              <w:t xml:space="preserve"> models</w:t>
            </w:r>
          </w:p>
        </w:tc>
      </w:tr>
      <w:tr w:rsidR="00286B48" w:rsidRPr="001A7949" w14:paraId="0C367A00" w14:textId="77777777" w:rsidTr="004969EA">
        <w:tc>
          <w:tcPr>
            <w:tcW w:w="1278" w:type="dxa"/>
            <w:vMerge/>
          </w:tcPr>
          <w:p w14:paraId="52A9812E" w14:textId="77777777" w:rsidR="00286B48" w:rsidRPr="001A7949" w:rsidRDefault="00286B48" w:rsidP="004969EA">
            <w:pPr>
              <w:rPr>
                <w:b/>
                <w:sz w:val="18"/>
                <w:szCs w:val="18"/>
              </w:rPr>
            </w:pPr>
          </w:p>
        </w:tc>
        <w:tc>
          <w:tcPr>
            <w:tcW w:w="1530" w:type="dxa"/>
          </w:tcPr>
          <w:p w14:paraId="4BCD9661" w14:textId="77777777" w:rsidR="00286B48" w:rsidRPr="001A7949" w:rsidRDefault="00286B48" w:rsidP="004969EA">
            <w:pPr>
              <w:rPr>
                <w:b/>
                <w:sz w:val="18"/>
                <w:szCs w:val="18"/>
              </w:rPr>
            </w:pPr>
            <w:r w:rsidRPr="001A7949">
              <w:rPr>
                <w:b/>
                <w:sz w:val="18"/>
                <w:szCs w:val="18"/>
              </w:rPr>
              <w:t>N</w:t>
            </w:r>
            <w:r w:rsidRPr="001A7949">
              <w:rPr>
                <w:b/>
                <w:sz w:val="18"/>
                <w:szCs w:val="18"/>
                <w:vertAlign w:val="subscript"/>
              </w:rPr>
              <w:t>2</w:t>
            </w:r>
            <w:r w:rsidRPr="001A7949">
              <w:rPr>
                <w:b/>
                <w:sz w:val="18"/>
                <w:szCs w:val="18"/>
              </w:rPr>
              <w:t>O</w:t>
            </w:r>
          </w:p>
        </w:tc>
        <w:tc>
          <w:tcPr>
            <w:tcW w:w="1642" w:type="dxa"/>
            <w:tcBorders>
              <w:bottom w:val="single" w:sz="4" w:space="0" w:color="auto"/>
            </w:tcBorders>
            <w:shd w:val="clear" w:color="auto" w:fill="008000"/>
          </w:tcPr>
          <w:p w14:paraId="290EEAD2" w14:textId="77777777" w:rsidR="00286B48" w:rsidRPr="001A7949" w:rsidRDefault="00286B48" w:rsidP="004969EA">
            <w:pPr>
              <w:rPr>
                <w:sz w:val="18"/>
                <w:szCs w:val="18"/>
              </w:rPr>
            </w:pPr>
            <w:r w:rsidRPr="001A7949">
              <w:rPr>
                <w:color w:val="FFFFFF" w:themeColor="background1"/>
                <w:sz w:val="18"/>
                <w:szCs w:val="18"/>
              </w:rPr>
              <w:t>Lower than SSP2 in all models</w:t>
            </w:r>
          </w:p>
        </w:tc>
        <w:tc>
          <w:tcPr>
            <w:tcW w:w="1643" w:type="dxa"/>
            <w:tcBorders>
              <w:bottom w:val="single" w:sz="4" w:space="0" w:color="auto"/>
            </w:tcBorders>
            <w:shd w:val="clear" w:color="auto" w:fill="008000"/>
          </w:tcPr>
          <w:p w14:paraId="3C533D20" w14:textId="77777777" w:rsidR="00286B48" w:rsidRPr="001A7949" w:rsidRDefault="00286B48" w:rsidP="004969EA">
            <w:pPr>
              <w:rPr>
                <w:sz w:val="18"/>
                <w:szCs w:val="18"/>
              </w:rPr>
            </w:pPr>
            <w:r w:rsidRPr="001A7949">
              <w:rPr>
                <w:color w:val="FFFFFF" w:themeColor="background1"/>
                <w:sz w:val="18"/>
                <w:szCs w:val="18"/>
              </w:rPr>
              <w:t>Higher than SSP2 in all models</w:t>
            </w:r>
          </w:p>
        </w:tc>
        <w:tc>
          <w:tcPr>
            <w:tcW w:w="1642" w:type="dxa"/>
            <w:shd w:val="clear" w:color="auto" w:fill="auto"/>
          </w:tcPr>
          <w:p w14:paraId="605CCF5D" w14:textId="77777777" w:rsidR="00286B48" w:rsidRPr="001A7949" w:rsidRDefault="00286B48" w:rsidP="004969EA">
            <w:pPr>
              <w:rPr>
                <w:sz w:val="18"/>
                <w:szCs w:val="18"/>
              </w:rPr>
            </w:pPr>
            <w:r>
              <w:rPr>
                <w:sz w:val="18"/>
                <w:szCs w:val="18"/>
              </w:rPr>
              <w:t>Similar to SSP2 in GCAM; Lower in AIM</w:t>
            </w:r>
          </w:p>
        </w:tc>
        <w:tc>
          <w:tcPr>
            <w:tcW w:w="1643" w:type="dxa"/>
            <w:tcBorders>
              <w:bottom w:val="single" w:sz="4" w:space="0" w:color="auto"/>
            </w:tcBorders>
            <w:shd w:val="clear" w:color="auto" w:fill="008000"/>
          </w:tcPr>
          <w:p w14:paraId="638BFB59" w14:textId="77777777" w:rsidR="00286B48" w:rsidRPr="00625A1F" w:rsidRDefault="00286B48" w:rsidP="004969EA">
            <w:pPr>
              <w:rPr>
                <w:color w:val="FFFFFF" w:themeColor="background1"/>
                <w:sz w:val="18"/>
                <w:szCs w:val="18"/>
              </w:rPr>
            </w:pPr>
            <w:r w:rsidRPr="00625A1F">
              <w:rPr>
                <w:color w:val="FFFFFF" w:themeColor="background1"/>
                <w:sz w:val="18"/>
                <w:szCs w:val="18"/>
              </w:rPr>
              <w:t>Lower than SSP2 in all models</w:t>
            </w:r>
          </w:p>
        </w:tc>
      </w:tr>
      <w:tr w:rsidR="00286B48" w:rsidRPr="001A7949" w14:paraId="3BB0627D" w14:textId="77777777" w:rsidTr="004969EA">
        <w:tc>
          <w:tcPr>
            <w:tcW w:w="1278" w:type="dxa"/>
          </w:tcPr>
          <w:p w14:paraId="20F2FE5C" w14:textId="77777777" w:rsidR="00286B48" w:rsidRPr="001A7949" w:rsidRDefault="00286B48" w:rsidP="004969EA">
            <w:pPr>
              <w:rPr>
                <w:b/>
                <w:sz w:val="18"/>
                <w:szCs w:val="18"/>
              </w:rPr>
            </w:pPr>
            <w:r w:rsidRPr="001A7949">
              <w:rPr>
                <w:b/>
                <w:sz w:val="18"/>
                <w:szCs w:val="18"/>
              </w:rPr>
              <w:t>Price</w:t>
            </w:r>
          </w:p>
        </w:tc>
        <w:tc>
          <w:tcPr>
            <w:tcW w:w="1530" w:type="dxa"/>
          </w:tcPr>
          <w:p w14:paraId="2514D748" w14:textId="77777777" w:rsidR="00286B48" w:rsidRPr="001A7949" w:rsidRDefault="00286B48" w:rsidP="004969EA">
            <w:pPr>
              <w:rPr>
                <w:b/>
                <w:sz w:val="18"/>
                <w:szCs w:val="18"/>
              </w:rPr>
            </w:pPr>
            <w:r w:rsidRPr="001A7949">
              <w:rPr>
                <w:b/>
                <w:sz w:val="18"/>
                <w:szCs w:val="18"/>
              </w:rPr>
              <w:t>Crops and Livestock</w:t>
            </w:r>
          </w:p>
        </w:tc>
        <w:tc>
          <w:tcPr>
            <w:tcW w:w="1642" w:type="dxa"/>
            <w:shd w:val="clear" w:color="auto" w:fill="CCFFCC"/>
          </w:tcPr>
          <w:p w14:paraId="2B93A00D" w14:textId="77777777" w:rsidR="00286B48" w:rsidRPr="001A7949" w:rsidRDefault="00286B48" w:rsidP="004969EA">
            <w:pPr>
              <w:rPr>
                <w:sz w:val="18"/>
                <w:szCs w:val="18"/>
              </w:rPr>
            </w:pPr>
            <w:r>
              <w:rPr>
                <w:sz w:val="18"/>
                <w:szCs w:val="18"/>
              </w:rPr>
              <w:t>Lower than SSP2 in 4 of 5 models</w:t>
            </w:r>
          </w:p>
        </w:tc>
        <w:tc>
          <w:tcPr>
            <w:tcW w:w="1643" w:type="dxa"/>
            <w:shd w:val="clear" w:color="auto" w:fill="008000"/>
          </w:tcPr>
          <w:p w14:paraId="596FE3B8" w14:textId="77777777" w:rsidR="00286B48" w:rsidRPr="009B4D84" w:rsidRDefault="00286B48" w:rsidP="004969EA">
            <w:pPr>
              <w:rPr>
                <w:color w:val="FFFFFF" w:themeColor="background1"/>
                <w:sz w:val="18"/>
                <w:szCs w:val="18"/>
              </w:rPr>
            </w:pPr>
            <w:r w:rsidRPr="009B4D84">
              <w:rPr>
                <w:color w:val="FFFFFF" w:themeColor="background1"/>
                <w:sz w:val="18"/>
                <w:szCs w:val="18"/>
              </w:rPr>
              <w:t>Higher than SSP2 in all models</w:t>
            </w:r>
          </w:p>
        </w:tc>
        <w:tc>
          <w:tcPr>
            <w:tcW w:w="1642" w:type="dxa"/>
            <w:shd w:val="clear" w:color="auto" w:fill="auto"/>
          </w:tcPr>
          <w:p w14:paraId="347FF13F" w14:textId="77777777" w:rsidR="00286B48" w:rsidRPr="001A7949" w:rsidRDefault="00286B48" w:rsidP="004969EA">
            <w:pPr>
              <w:rPr>
                <w:sz w:val="18"/>
                <w:szCs w:val="18"/>
              </w:rPr>
            </w:pPr>
            <w:r>
              <w:rPr>
                <w:sz w:val="18"/>
                <w:szCs w:val="18"/>
              </w:rPr>
              <w:t>Lower than SSP2 in 1 model; Higher in 1 model</w:t>
            </w:r>
          </w:p>
        </w:tc>
        <w:tc>
          <w:tcPr>
            <w:tcW w:w="1643" w:type="dxa"/>
            <w:shd w:val="clear" w:color="auto" w:fill="CCFFCC"/>
          </w:tcPr>
          <w:p w14:paraId="2B56CAD7" w14:textId="77777777" w:rsidR="00286B48" w:rsidRPr="001A7949" w:rsidRDefault="00286B48" w:rsidP="004969EA">
            <w:pPr>
              <w:rPr>
                <w:sz w:val="18"/>
                <w:szCs w:val="18"/>
              </w:rPr>
            </w:pPr>
            <w:r>
              <w:rPr>
                <w:sz w:val="18"/>
                <w:szCs w:val="18"/>
              </w:rPr>
              <w:t>Lower than SSP2 in 2 of 3 models</w:t>
            </w:r>
          </w:p>
        </w:tc>
      </w:tr>
    </w:tbl>
    <w:p w14:paraId="78BF1AB7" w14:textId="77777777" w:rsidR="00286B48" w:rsidRDefault="00286B48" w:rsidP="00286B48"/>
    <w:p w14:paraId="5670DF5B" w14:textId="77777777" w:rsidR="00286B48" w:rsidRDefault="00286B48" w:rsidP="00286B48">
      <w:pPr>
        <w:pStyle w:val="Caption"/>
        <w:keepNext/>
      </w:pPr>
    </w:p>
    <w:p w14:paraId="43359015" w14:textId="77777777" w:rsidR="00286B48" w:rsidRDefault="00286B48" w:rsidP="00286B48">
      <w:pPr>
        <w:pStyle w:val="Caption"/>
        <w:keepNext/>
      </w:pPr>
    </w:p>
    <w:p w14:paraId="78E5504A" w14:textId="77777777" w:rsidR="00286B48" w:rsidRDefault="00286B48" w:rsidP="00286B48">
      <w:pPr>
        <w:rPr>
          <w:b/>
          <w:bCs/>
          <w:color w:val="4F81BD" w:themeColor="accent1"/>
          <w:sz w:val="18"/>
          <w:szCs w:val="18"/>
        </w:rPr>
      </w:pPr>
      <w:r>
        <w:br w:type="page"/>
      </w:r>
    </w:p>
    <w:p w14:paraId="10461ED9" w14:textId="546A8BA3" w:rsidR="00286B48" w:rsidRDefault="00286B48" w:rsidP="00286B48">
      <w:pPr>
        <w:pStyle w:val="Caption"/>
        <w:keepNext/>
      </w:pPr>
      <w:r>
        <w:t>Table SI</w:t>
      </w:r>
      <w:r w:rsidR="000B07E7">
        <w:fldChar w:fldCharType="begin"/>
      </w:r>
      <w:r w:rsidR="000B07E7">
        <w:instrText xml:space="preserve"> SEQ Table \* ARABIC </w:instrText>
      </w:r>
      <w:r w:rsidR="000B07E7">
        <w:fldChar w:fldCharType="separate"/>
      </w:r>
      <w:r>
        <w:rPr>
          <w:noProof/>
        </w:rPr>
        <w:t>2</w:t>
      </w:r>
      <w:r w:rsidR="000B07E7">
        <w:rPr>
          <w:noProof/>
        </w:rPr>
        <w:fldChar w:fldCharType="end"/>
      </w:r>
      <w:r>
        <w:t>: Summary of qualitative results in 2100 across IAMs for the 2.6 scenario. All results are compared to the Baseline; SSP3 is omitted as no model could produce an SSP3 RCP2.6. Dark green indicates consistency across models. Light green indicates consistency in most models.</w:t>
      </w:r>
    </w:p>
    <w:tbl>
      <w:tblPr>
        <w:tblStyle w:val="TableGrid"/>
        <w:tblW w:w="0" w:type="auto"/>
        <w:tblLayout w:type="fixed"/>
        <w:tblLook w:val="04A0" w:firstRow="1" w:lastRow="0" w:firstColumn="1" w:lastColumn="0" w:noHBand="0" w:noVBand="1"/>
      </w:tblPr>
      <w:tblGrid>
        <w:gridCol w:w="1278"/>
        <w:gridCol w:w="1530"/>
        <w:gridCol w:w="1642"/>
        <w:gridCol w:w="1643"/>
        <w:gridCol w:w="1642"/>
        <w:gridCol w:w="1643"/>
      </w:tblGrid>
      <w:tr w:rsidR="00286B48" w:rsidRPr="001A7949" w14:paraId="21199ED3" w14:textId="77777777" w:rsidTr="004969EA">
        <w:tc>
          <w:tcPr>
            <w:tcW w:w="1278" w:type="dxa"/>
          </w:tcPr>
          <w:p w14:paraId="6D1A16F6" w14:textId="77777777" w:rsidR="00286B48" w:rsidRPr="001A7949" w:rsidRDefault="00286B48" w:rsidP="004969EA">
            <w:pPr>
              <w:rPr>
                <w:b/>
                <w:sz w:val="18"/>
                <w:szCs w:val="18"/>
              </w:rPr>
            </w:pPr>
          </w:p>
        </w:tc>
        <w:tc>
          <w:tcPr>
            <w:tcW w:w="1530" w:type="dxa"/>
          </w:tcPr>
          <w:p w14:paraId="1CEFDB0C" w14:textId="77777777" w:rsidR="00286B48" w:rsidRPr="001A7949" w:rsidRDefault="00286B48" w:rsidP="004969EA">
            <w:pPr>
              <w:rPr>
                <w:b/>
                <w:sz w:val="18"/>
                <w:szCs w:val="18"/>
              </w:rPr>
            </w:pPr>
          </w:p>
        </w:tc>
        <w:tc>
          <w:tcPr>
            <w:tcW w:w="1642" w:type="dxa"/>
            <w:tcBorders>
              <w:bottom w:val="single" w:sz="4" w:space="0" w:color="auto"/>
            </w:tcBorders>
          </w:tcPr>
          <w:p w14:paraId="38B3229E" w14:textId="77777777" w:rsidR="00286B48" w:rsidRPr="001A7949" w:rsidRDefault="00286B48" w:rsidP="004969EA">
            <w:pPr>
              <w:rPr>
                <w:b/>
                <w:sz w:val="18"/>
                <w:szCs w:val="18"/>
              </w:rPr>
            </w:pPr>
            <w:r w:rsidRPr="001A7949">
              <w:rPr>
                <w:b/>
                <w:sz w:val="18"/>
                <w:szCs w:val="18"/>
              </w:rPr>
              <w:t>SSP1</w:t>
            </w:r>
          </w:p>
        </w:tc>
        <w:tc>
          <w:tcPr>
            <w:tcW w:w="1643" w:type="dxa"/>
            <w:tcBorders>
              <w:bottom w:val="single" w:sz="4" w:space="0" w:color="auto"/>
            </w:tcBorders>
          </w:tcPr>
          <w:p w14:paraId="4B43D746" w14:textId="77777777" w:rsidR="00286B48" w:rsidRPr="001A7949" w:rsidRDefault="00286B48" w:rsidP="004969EA">
            <w:pPr>
              <w:rPr>
                <w:b/>
                <w:sz w:val="18"/>
                <w:szCs w:val="18"/>
              </w:rPr>
            </w:pPr>
            <w:r w:rsidRPr="001A7949">
              <w:rPr>
                <w:b/>
                <w:sz w:val="18"/>
                <w:szCs w:val="18"/>
              </w:rPr>
              <w:t>SSP</w:t>
            </w:r>
            <w:r>
              <w:rPr>
                <w:b/>
                <w:sz w:val="18"/>
                <w:szCs w:val="18"/>
              </w:rPr>
              <w:t>2</w:t>
            </w:r>
          </w:p>
        </w:tc>
        <w:tc>
          <w:tcPr>
            <w:tcW w:w="1642" w:type="dxa"/>
            <w:tcBorders>
              <w:bottom w:val="single" w:sz="4" w:space="0" w:color="auto"/>
            </w:tcBorders>
          </w:tcPr>
          <w:p w14:paraId="04A66409" w14:textId="77777777" w:rsidR="00286B48" w:rsidRPr="001A7949" w:rsidRDefault="00286B48" w:rsidP="004969EA">
            <w:pPr>
              <w:rPr>
                <w:b/>
                <w:sz w:val="18"/>
                <w:szCs w:val="18"/>
              </w:rPr>
            </w:pPr>
            <w:r w:rsidRPr="001A7949">
              <w:rPr>
                <w:b/>
                <w:sz w:val="18"/>
                <w:szCs w:val="18"/>
              </w:rPr>
              <w:t>SSP4</w:t>
            </w:r>
          </w:p>
        </w:tc>
        <w:tc>
          <w:tcPr>
            <w:tcW w:w="1643" w:type="dxa"/>
            <w:tcBorders>
              <w:bottom w:val="single" w:sz="4" w:space="0" w:color="auto"/>
            </w:tcBorders>
          </w:tcPr>
          <w:p w14:paraId="7E586B4F" w14:textId="77777777" w:rsidR="00286B48" w:rsidRPr="001A7949" w:rsidRDefault="00286B48" w:rsidP="004969EA">
            <w:pPr>
              <w:rPr>
                <w:b/>
                <w:sz w:val="18"/>
                <w:szCs w:val="18"/>
              </w:rPr>
            </w:pPr>
            <w:r w:rsidRPr="001A7949">
              <w:rPr>
                <w:b/>
                <w:sz w:val="18"/>
                <w:szCs w:val="18"/>
              </w:rPr>
              <w:t>SSP5</w:t>
            </w:r>
          </w:p>
        </w:tc>
      </w:tr>
      <w:tr w:rsidR="00286B48" w:rsidRPr="001A7949" w14:paraId="2C28C4EF" w14:textId="77777777" w:rsidTr="004969EA">
        <w:trPr>
          <w:trHeight w:val="1223"/>
        </w:trPr>
        <w:tc>
          <w:tcPr>
            <w:tcW w:w="1278" w:type="dxa"/>
            <w:vMerge w:val="restart"/>
            <w:vAlign w:val="center"/>
          </w:tcPr>
          <w:p w14:paraId="6EEED87F" w14:textId="77777777" w:rsidR="00286B48" w:rsidRPr="001A7949" w:rsidRDefault="00286B48" w:rsidP="004969EA">
            <w:pPr>
              <w:rPr>
                <w:b/>
                <w:sz w:val="18"/>
                <w:szCs w:val="18"/>
              </w:rPr>
            </w:pPr>
            <w:r w:rsidRPr="001A7949">
              <w:rPr>
                <w:b/>
                <w:sz w:val="18"/>
                <w:szCs w:val="18"/>
              </w:rPr>
              <w:t>Land Use/Land Cover Change</w:t>
            </w:r>
          </w:p>
        </w:tc>
        <w:tc>
          <w:tcPr>
            <w:tcW w:w="1530" w:type="dxa"/>
          </w:tcPr>
          <w:p w14:paraId="5D62564A" w14:textId="77777777" w:rsidR="00D77E84" w:rsidRDefault="00286B48" w:rsidP="004969EA">
            <w:pPr>
              <w:rPr>
                <w:b/>
                <w:sz w:val="18"/>
                <w:szCs w:val="18"/>
              </w:rPr>
            </w:pPr>
            <w:r w:rsidRPr="001A7949">
              <w:rPr>
                <w:b/>
                <w:sz w:val="18"/>
                <w:szCs w:val="18"/>
              </w:rPr>
              <w:t>Food/</w:t>
            </w:r>
          </w:p>
          <w:p w14:paraId="5BF463CA" w14:textId="20954919" w:rsidR="00286B48" w:rsidRPr="001A7949" w:rsidRDefault="00286B48" w:rsidP="004969EA">
            <w:pPr>
              <w:rPr>
                <w:b/>
                <w:sz w:val="18"/>
                <w:szCs w:val="18"/>
              </w:rPr>
            </w:pPr>
            <w:r w:rsidRPr="001A7949">
              <w:rPr>
                <w:b/>
                <w:sz w:val="18"/>
                <w:szCs w:val="18"/>
              </w:rPr>
              <w:t>Feed Crops</w:t>
            </w:r>
          </w:p>
        </w:tc>
        <w:tc>
          <w:tcPr>
            <w:tcW w:w="1642" w:type="dxa"/>
            <w:shd w:val="clear" w:color="auto" w:fill="008000"/>
          </w:tcPr>
          <w:p w14:paraId="49A52CB3" w14:textId="77777777" w:rsidR="00286B48" w:rsidRPr="001C672E" w:rsidRDefault="00286B48" w:rsidP="004969EA">
            <w:pPr>
              <w:rPr>
                <w:color w:val="FFFFFF" w:themeColor="background1"/>
                <w:sz w:val="18"/>
                <w:szCs w:val="18"/>
              </w:rPr>
            </w:pPr>
            <w:r w:rsidRPr="001C672E">
              <w:rPr>
                <w:color w:val="FFFFFF" w:themeColor="background1"/>
                <w:sz w:val="18"/>
                <w:szCs w:val="18"/>
              </w:rPr>
              <w:t>Lower than Baseline in all models</w:t>
            </w:r>
          </w:p>
        </w:tc>
        <w:tc>
          <w:tcPr>
            <w:tcW w:w="1643" w:type="dxa"/>
            <w:shd w:val="clear" w:color="auto" w:fill="008000"/>
          </w:tcPr>
          <w:p w14:paraId="60B0B394" w14:textId="77777777" w:rsidR="00286B48" w:rsidRPr="001C672E" w:rsidRDefault="00286B48" w:rsidP="004969EA">
            <w:pPr>
              <w:rPr>
                <w:color w:val="FFFFFF" w:themeColor="background1"/>
                <w:sz w:val="18"/>
                <w:szCs w:val="18"/>
              </w:rPr>
            </w:pPr>
            <w:r w:rsidRPr="001C672E">
              <w:rPr>
                <w:color w:val="FFFFFF" w:themeColor="background1"/>
                <w:sz w:val="18"/>
                <w:szCs w:val="18"/>
              </w:rPr>
              <w:t>Lower than Baseline in all models</w:t>
            </w:r>
          </w:p>
        </w:tc>
        <w:tc>
          <w:tcPr>
            <w:tcW w:w="1642" w:type="dxa"/>
            <w:tcBorders>
              <w:bottom w:val="single" w:sz="4" w:space="0" w:color="auto"/>
            </w:tcBorders>
            <w:shd w:val="clear" w:color="auto" w:fill="008000"/>
          </w:tcPr>
          <w:p w14:paraId="75E62BD3" w14:textId="77777777" w:rsidR="00286B48" w:rsidRPr="001C672E" w:rsidRDefault="00286B48" w:rsidP="004969EA">
            <w:pPr>
              <w:rPr>
                <w:color w:val="FFFFFF" w:themeColor="background1"/>
                <w:sz w:val="18"/>
                <w:szCs w:val="18"/>
              </w:rPr>
            </w:pPr>
            <w:r w:rsidRPr="001C672E">
              <w:rPr>
                <w:color w:val="FFFFFF" w:themeColor="background1"/>
                <w:sz w:val="18"/>
                <w:szCs w:val="18"/>
              </w:rPr>
              <w:t>Lower than Baseline in all models</w:t>
            </w:r>
          </w:p>
        </w:tc>
        <w:tc>
          <w:tcPr>
            <w:tcW w:w="1643" w:type="dxa"/>
            <w:shd w:val="clear" w:color="auto" w:fill="008000"/>
          </w:tcPr>
          <w:p w14:paraId="1A2C2F8C" w14:textId="77777777" w:rsidR="00286B48" w:rsidRPr="001C672E" w:rsidRDefault="00286B48" w:rsidP="004969EA">
            <w:pPr>
              <w:rPr>
                <w:color w:val="FFFFFF" w:themeColor="background1"/>
                <w:sz w:val="18"/>
                <w:szCs w:val="18"/>
              </w:rPr>
            </w:pPr>
            <w:r w:rsidRPr="001C672E">
              <w:rPr>
                <w:color w:val="FFFFFF" w:themeColor="background1"/>
                <w:sz w:val="18"/>
                <w:szCs w:val="18"/>
              </w:rPr>
              <w:t>Lower than Baseline in all models</w:t>
            </w:r>
          </w:p>
        </w:tc>
      </w:tr>
      <w:tr w:rsidR="00286B48" w:rsidRPr="001A7949" w14:paraId="10E1FFD9" w14:textId="77777777" w:rsidTr="004969EA">
        <w:tc>
          <w:tcPr>
            <w:tcW w:w="1278" w:type="dxa"/>
            <w:vMerge/>
          </w:tcPr>
          <w:p w14:paraId="3317CBB5" w14:textId="77777777" w:rsidR="00286B48" w:rsidRPr="001A7949" w:rsidRDefault="00286B48" w:rsidP="004969EA">
            <w:pPr>
              <w:rPr>
                <w:b/>
                <w:sz w:val="18"/>
                <w:szCs w:val="18"/>
              </w:rPr>
            </w:pPr>
          </w:p>
        </w:tc>
        <w:tc>
          <w:tcPr>
            <w:tcW w:w="1530" w:type="dxa"/>
          </w:tcPr>
          <w:p w14:paraId="32EEB226" w14:textId="77777777" w:rsidR="00286B48" w:rsidRPr="001A7949" w:rsidRDefault="00286B48" w:rsidP="004969EA">
            <w:pPr>
              <w:rPr>
                <w:b/>
                <w:sz w:val="18"/>
                <w:szCs w:val="18"/>
              </w:rPr>
            </w:pPr>
            <w:r w:rsidRPr="001A7949">
              <w:rPr>
                <w:b/>
                <w:sz w:val="18"/>
                <w:szCs w:val="18"/>
              </w:rPr>
              <w:t>Energy Crops</w:t>
            </w:r>
          </w:p>
        </w:tc>
        <w:tc>
          <w:tcPr>
            <w:tcW w:w="1642" w:type="dxa"/>
            <w:shd w:val="clear" w:color="auto" w:fill="008000"/>
          </w:tcPr>
          <w:p w14:paraId="0A353C04" w14:textId="77777777" w:rsidR="00286B48" w:rsidRPr="001C672E" w:rsidRDefault="00286B48" w:rsidP="004969EA">
            <w:pPr>
              <w:rPr>
                <w:color w:val="FFFFFF" w:themeColor="background1"/>
                <w:sz w:val="18"/>
                <w:szCs w:val="18"/>
              </w:rPr>
            </w:pPr>
            <w:r w:rsidRPr="001C672E">
              <w:rPr>
                <w:color w:val="FFFFFF" w:themeColor="background1"/>
                <w:sz w:val="18"/>
                <w:szCs w:val="18"/>
              </w:rPr>
              <w:t>Higher than Baseline in all models</w:t>
            </w:r>
          </w:p>
        </w:tc>
        <w:tc>
          <w:tcPr>
            <w:tcW w:w="1643" w:type="dxa"/>
            <w:tcBorders>
              <w:bottom w:val="single" w:sz="4" w:space="0" w:color="auto"/>
            </w:tcBorders>
            <w:shd w:val="clear" w:color="auto" w:fill="008000"/>
          </w:tcPr>
          <w:p w14:paraId="374C219F" w14:textId="77777777" w:rsidR="00286B48" w:rsidRPr="001C672E" w:rsidRDefault="00286B48" w:rsidP="004969EA">
            <w:pPr>
              <w:rPr>
                <w:color w:val="FFFFFF" w:themeColor="background1"/>
                <w:sz w:val="18"/>
                <w:szCs w:val="18"/>
              </w:rPr>
            </w:pPr>
            <w:r w:rsidRPr="001C672E">
              <w:rPr>
                <w:color w:val="FFFFFF" w:themeColor="background1"/>
                <w:sz w:val="18"/>
                <w:szCs w:val="18"/>
              </w:rPr>
              <w:t>Higher than Baseline in all models</w:t>
            </w:r>
          </w:p>
        </w:tc>
        <w:tc>
          <w:tcPr>
            <w:tcW w:w="1642" w:type="dxa"/>
            <w:shd w:val="clear" w:color="auto" w:fill="008000"/>
          </w:tcPr>
          <w:p w14:paraId="7EB2A521" w14:textId="77777777" w:rsidR="00286B48" w:rsidRPr="001C672E" w:rsidRDefault="00286B48" w:rsidP="004969EA">
            <w:pPr>
              <w:rPr>
                <w:color w:val="FFFFFF" w:themeColor="background1"/>
                <w:sz w:val="18"/>
                <w:szCs w:val="18"/>
              </w:rPr>
            </w:pPr>
            <w:r w:rsidRPr="001C672E">
              <w:rPr>
                <w:color w:val="FFFFFF" w:themeColor="background1"/>
                <w:sz w:val="18"/>
                <w:szCs w:val="18"/>
              </w:rPr>
              <w:t>Higher than Baseline in all models</w:t>
            </w:r>
          </w:p>
        </w:tc>
        <w:tc>
          <w:tcPr>
            <w:tcW w:w="1643" w:type="dxa"/>
            <w:tcBorders>
              <w:bottom w:val="single" w:sz="4" w:space="0" w:color="auto"/>
            </w:tcBorders>
            <w:shd w:val="clear" w:color="auto" w:fill="008000"/>
          </w:tcPr>
          <w:p w14:paraId="2675D10F" w14:textId="77777777" w:rsidR="00286B48" w:rsidRPr="001C672E" w:rsidRDefault="00286B48" w:rsidP="004969EA">
            <w:pPr>
              <w:rPr>
                <w:color w:val="FFFFFF" w:themeColor="background1"/>
                <w:sz w:val="18"/>
                <w:szCs w:val="18"/>
              </w:rPr>
            </w:pPr>
            <w:r w:rsidRPr="001C672E">
              <w:rPr>
                <w:color w:val="FFFFFF" w:themeColor="background1"/>
                <w:sz w:val="18"/>
                <w:szCs w:val="18"/>
              </w:rPr>
              <w:t>Higher than Baseline in all models</w:t>
            </w:r>
          </w:p>
        </w:tc>
      </w:tr>
      <w:tr w:rsidR="00286B48" w:rsidRPr="001A7949" w14:paraId="44277017" w14:textId="77777777" w:rsidTr="004969EA">
        <w:tc>
          <w:tcPr>
            <w:tcW w:w="1278" w:type="dxa"/>
            <w:vMerge/>
          </w:tcPr>
          <w:p w14:paraId="4920E1AD" w14:textId="77777777" w:rsidR="00286B48" w:rsidRPr="001A7949" w:rsidRDefault="00286B48" w:rsidP="004969EA">
            <w:pPr>
              <w:rPr>
                <w:b/>
                <w:sz w:val="18"/>
                <w:szCs w:val="18"/>
              </w:rPr>
            </w:pPr>
          </w:p>
        </w:tc>
        <w:tc>
          <w:tcPr>
            <w:tcW w:w="1530" w:type="dxa"/>
          </w:tcPr>
          <w:p w14:paraId="0D7E8C62" w14:textId="77777777" w:rsidR="00286B48" w:rsidRPr="001A7949" w:rsidRDefault="00286B48" w:rsidP="004969EA">
            <w:pPr>
              <w:rPr>
                <w:b/>
                <w:sz w:val="18"/>
                <w:szCs w:val="18"/>
              </w:rPr>
            </w:pPr>
            <w:r w:rsidRPr="001A7949">
              <w:rPr>
                <w:b/>
                <w:sz w:val="18"/>
                <w:szCs w:val="18"/>
              </w:rPr>
              <w:t>Forest</w:t>
            </w:r>
          </w:p>
        </w:tc>
        <w:tc>
          <w:tcPr>
            <w:tcW w:w="1642" w:type="dxa"/>
            <w:tcBorders>
              <w:bottom w:val="single" w:sz="4" w:space="0" w:color="auto"/>
            </w:tcBorders>
            <w:shd w:val="clear" w:color="auto" w:fill="008000"/>
          </w:tcPr>
          <w:p w14:paraId="4ADC399B" w14:textId="77777777" w:rsidR="00286B48" w:rsidRPr="001C672E" w:rsidRDefault="00286B48" w:rsidP="004969EA">
            <w:pPr>
              <w:rPr>
                <w:color w:val="FFFFFF" w:themeColor="background1"/>
                <w:sz w:val="18"/>
                <w:szCs w:val="18"/>
              </w:rPr>
            </w:pPr>
            <w:r w:rsidRPr="001C672E">
              <w:rPr>
                <w:color w:val="FFFFFF" w:themeColor="background1"/>
                <w:sz w:val="18"/>
                <w:szCs w:val="18"/>
              </w:rPr>
              <w:t>Higher than Baseline in all models</w:t>
            </w:r>
          </w:p>
        </w:tc>
        <w:tc>
          <w:tcPr>
            <w:tcW w:w="1643" w:type="dxa"/>
            <w:tcBorders>
              <w:bottom w:val="single" w:sz="4" w:space="0" w:color="auto"/>
            </w:tcBorders>
            <w:shd w:val="clear" w:color="auto" w:fill="008000"/>
          </w:tcPr>
          <w:p w14:paraId="7D9ADD60" w14:textId="77777777" w:rsidR="00286B48" w:rsidRPr="001C672E" w:rsidRDefault="00286B48" w:rsidP="004969EA">
            <w:pPr>
              <w:rPr>
                <w:color w:val="FFFFFF" w:themeColor="background1"/>
                <w:sz w:val="18"/>
                <w:szCs w:val="18"/>
              </w:rPr>
            </w:pPr>
            <w:r w:rsidRPr="001C672E">
              <w:rPr>
                <w:color w:val="FFFFFF" w:themeColor="background1"/>
                <w:sz w:val="18"/>
                <w:szCs w:val="18"/>
              </w:rPr>
              <w:t>Higher than Baseline in all models</w:t>
            </w:r>
          </w:p>
        </w:tc>
        <w:tc>
          <w:tcPr>
            <w:tcW w:w="1642" w:type="dxa"/>
            <w:tcBorders>
              <w:bottom w:val="single" w:sz="4" w:space="0" w:color="auto"/>
            </w:tcBorders>
            <w:shd w:val="clear" w:color="auto" w:fill="008000"/>
          </w:tcPr>
          <w:p w14:paraId="392BA58F" w14:textId="77777777" w:rsidR="00286B48" w:rsidRPr="001C672E" w:rsidRDefault="00286B48" w:rsidP="004969EA">
            <w:pPr>
              <w:rPr>
                <w:color w:val="FFFFFF" w:themeColor="background1"/>
                <w:sz w:val="18"/>
                <w:szCs w:val="18"/>
              </w:rPr>
            </w:pPr>
            <w:r w:rsidRPr="001C672E">
              <w:rPr>
                <w:color w:val="FFFFFF" w:themeColor="background1"/>
                <w:sz w:val="18"/>
                <w:szCs w:val="18"/>
              </w:rPr>
              <w:t>Higher than Baseline in all models</w:t>
            </w:r>
          </w:p>
        </w:tc>
        <w:tc>
          <w:tcPr>
            <w:tcW w:w="1643" w:type="dxa"/>
            <w:tcBorders>
              <w:bottom w:val="single" w:sz="4" w:space="0" w:color="auto"/>
            </w:tcBorders>
            <w:shd w:val="clear" w:color="auto" w:fill="008000"/>
          </w:tcPr>
          <w:p w14:paraId="5A7B3830" w14:textId="77777777" w:rsidR="00286B48" w:rsidRPr="001C672E" w:rsidRDefault="00286B48" w:rsidP="004969EA">
            <w:pPr>
              <w:rPr>
                <w:color w:val="FFFFFF" w:themeColor="background1"/>
                <w:sz w:val="18"/>
                <w:szCs w:val="18"/>
              </w:rPr>
            </w:pPr>
            <w:r w:rsidRPr="001C672E">
              <w:rPr>
                <w:color w:val="FFFFFF" w:themeColor="background1"/>
                <w:sz w:val="18"/>
                <w:szCs w:val="18"/>
              </w:rPr>
              <w:t>Higher than Baseline in all models</w:t>
            </w:r>
          </w:p>
        </w:tc>
      </w:tr>
      <w:tr w:rsidR="00286B48" w:rsidRPr="001A7949" w14:paraId="3EC6BD15" w14:textId="77777777" w:rsidTr="004969EA">
        <w:tc>
          <w:tcPr>
            <w:tcW w:w="1278" w:type="dxa"/>
            <w:vMerge/>
          </w:tcPr>
          <w:p w14:paraId="3803F65A" w14:textId="77777777" w:rsidR="00286B48" w:rsidRPr="001A7949" w:rsidRDefault="00286B48" w:rsidP="004969EA">
            <w:pPr>
              <w:rPr>
                <w:b/>
                <w:sz w:val="18"/>
                <w:szCs w:val="18"/>
              </w:rPr>
            </w:pPr>
          </w:p>
        </w:tc>
        <w:tc>
          <w:tcPr>
            <w:tcW w:w="1530" w:type="dxa"/>
          </w:tcPr>
          <w:p w14:paraId="0B0EA5ED" w14:textId="77777777" w:rsidR="00286B48" w:rsidRPr="001A7949" w:rsidRDefault="00286B48" w:rsidP="004969EA">
            <w:pPr>
              <w:rPr>
                <w:b/>
                <w:sz w:val="18"/>
                <w:szCs w:val="18"/>
              </w:rPr>
            </w:pPr>
            <w:r w:rsidRPr="001A7949">
              <w:rPr>
                <w:b/>
                <w:sz w:val="18"/>
                <w:szCs w:val="18"/>
              </w:rPr>
              <w:t>Pasture</w:t>
            </w:r>
          </w:p>
        </w:tc>
        <w:tc>
          <w:tcPr>
            <w:tcW w:w="1642" w:type="dxa"/>
            <w:shd w:val="clear" w:color="auto" w:fill="CCFFCC"/>
          </w:tcPr>
          <w:p w14:paraId="4C0036A9" w14:textId="77777777" w:rsidR="00286B48" w:rsidRPr="00490EDE" w:rsidRDefault="00286B48" w:rsidP="004969EA">
            <w:pPr>
              <w:rPr>
                <w:sz w:val="18"/>
                <w:szCs w:val="18"/>
              </w:rPr>
            </w:pPr>
            <w:r>
              <w:rPr>
                <w:sz w:val="18"/>
                <w:szCs w:val="18"/>
              </w:rPr>
              <w:t>Similar to or lower than Baseline in all models</w:t>
            </w:r>
          </w:p>
        </w:tc>
        <w:tc>
          <w:tcPr>
            <w:tcW w:w="1643" w:type="dxa"/>
            <w:tcBorders>
              <w:bottom w:val="single" w:sz="4" w:space="0" w:color="auto"/>
            </w:tcBorders>
            <w:shd w:val="clear" w:color="auto" w:fill="CCFFCC"/>
          </w:tcPr>
          <w:p w14:paraId="3F3DC8C3" w14:textId="77777777" w:rsidR="00286B48" w:rsidRPr="00490EDE" w:rsidRDefault="00286B48" w:rsidP="004969EA">
            <w:pPr>
              <w:rPr>
                <w:sz w:val="18"/>
                <w:szCs w:val="18"/>
              </w:rPr>
            </w:pPr>
            <w:r>
              <w:rPr>
                <w:sz w:val="18"/>
                <w:szCs w:val="18"/>
              </w:rPr>
              <w:t>Similar to or lower than Baseline in all models</w:t>
            </w:r>
          </w:p>
        </w:tc>
        <w:tc>
          <w:tcPr>
            <w:tcW w:w="1642" w:type="dxa"/>
            <w:tcBorders>
              <w:bottom w:val="single" w:sz="4" w:space="0" w:color="auto"/>
            </w:tcBorders>
            <w:shd w:val="clear" w:color="auto" w:fill="CCFFCC"/>
          </w:tcPr>
          <w:p w14:paraId="404BB2BD" w14:textId="77777777" w:rsidR="00286B48" w:rsidRPr="00490EDE" w:rsidRDefault="00286B48" w:rsidP="004969EA">
            <w:pPr>
              <w:rPr>
                <w:sz w:val="18"/>
                <w:szCs w:val="18"/>
              </w:rPr>
            </w:pPr>
            <w:r>
              <w:rPr>
                <w:sz w:val="18"/>
                <w:szCs w:val="18"/>
              </w:rPr>
              <w:t>Similar to or lower than Baseline in all models</w:t>
            </w:r>
          </w:p>
        </w:tc>
        <w:tc>
          <w:tcPr>
            <w:tcW w:w="1643" w:type="dxa"/>
            <w:tcBorders>
              <w:bottom w:val="single" w:sz="4" w:space="0" w:color="auto"/>
            </w:tcBorders>
            <w:shd w:val="clear" w:color="auto" w:fill="CCFFCC"/>
          </w:tcPr>
          <w:p w14:paraId="3314C498" w14:textId="77777777" w:rsidR="00286B48" w:rsidRPr="00490EDE" w:rsidRDefault="00286B48" w:rsidP="004969EA">
            <w:pPr>
              <w:rPr>
                <w:sz w:val="18"/>
                <w:szCs w:val="18"/>
              </w:rPr>
            </w:pPr>
            <w:r>
              <w:rPr>
                <w:sz w:val="18"/>
                <w:szCs w:val="18"/>
              </w:rPr>
              <w:t>Similar to or lower than Baseline in all models</w:t>
            </w:r>
          </w:p>
        </w:tc>
      </w:tr>
    </w:tbl>
    <w:p w14:paraId="475A1CA8" w14:textId="77777777" w:rsidR="00286B48" w:rsidRDefault="00286B48" w:rsidP="002E7C85"/>
    <w:sectPr w:rsidR="00286B48">
      <w:pgSz w:w="12240" w:h="15840"/>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1A3A221" w15:done="0"/>
  <w15:commentEx w15:paraId="79604992" w15:done="0"/>
  <w15:commentEx w15:paraId="66DE63E2" w15:done="0"/>
  <w15:commentEx w15:paraId="0042E5E9" w15:done="0"/>
  <w15:commentEx w15:paraId="7296AF17"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66DBFB" w14:textId="77777777" w:rsidR="00E71FA7" w:rsidRDefault="00E71FA7" w:rsidP="00376AA1">
      <w:pPr>
        <w:spacing w:after="0" w:line="240" w:lineRule="auto"/>
      </w:pPr>
      <w:r>
        <w:separator/>
      </w:r>
    </w:p>
  </w:endnote>
  <w:endnote w:type="continuationSeparator" w:id="0">
    <w:p w14:paraId="026DABB1" w14:textId="77777777" w:rsidR="00E71FA7" w:rsidRDefault="00E71FA7" w:rsidP="00376A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8000012" w:usb3="00000000" w:csb0="0002009F" w:csb1="00000000"/>
  </w:font>
  <w:font w:name="Cambria Math">
    <w:panose1 w:val="02040503050406030204"/>
    <w:charset w:val="00"/>
    <w:family w:val="auto"/>
    <w:pitch w:val="variable"/>
    <w:sig w:usb0="00000003" w:usb1="00000000" w:usb2="00000000" w:usb3="00000000" w:csb0="00000001" w:csb1="00000000"/>
  </w:font>
  <w:font w:name="HiraMinPro-W3">
    <w:altName w:val="MS Mincho"/>
    <w:panose1 w:val="00000000000000000000"/>
    <w:charset w:val="80"/>
    <w:family w:val="roman"/>
    <w:notTrueType/>
    <w:pitch w:val="default"/>
    <w:sig w:usb0="00000000" w:usb1="08070000" w:usb2="00000010" w:usb3="00000000" w:csb0="00020000" w:csb1="00000000"/>
  </w:font>
  <w:font w:name="MS Gothic">
    <w:altName w:val="ＭＳ ゴシック"/>
    <w:charset w:val="80"/>
    <w:family w:val="modern"/>
    <w:pitch w:val="fixed"/>
    <w:sig w:usb0="E00002FF" w:usb1="6AC7FDFB" w:usb2="08000012" w:usb3="00000000" w:csb0="0002009F" w:csb1="00000000"/>
  </w:font>
  <w:font w:name="NimbusSansL">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3A9364" w14:textId="77777777" w:rsidR="00E71FA7" w:rsidRDefault="00E71FA7" w:rsidP="00376AA1">
      <w:pPr>
        <w:spacing w:after="0" w:line="240" w:lineRule="auto"/>
      </w:pPr>
      <w:r>
        <w:separator/>
      </w:r>
    </w:p>
  </w:footnote>
  <w:footnote w:type="continuationSeparator" w:id="0">
    <w:p w14:paraId="58B6FB7B" w14:textId="77777777" w:rsidR="00E71FA7" w:rsidRDefault="00E71FA7" w:rsidP="00376AA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B74D0B"/>
    <w:multiLevelType w:val="hybridMultilevel"/>
    <w:tmpl w:val="B0C4E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34C6BAC"/>
    <w:multiLevelType w:val="hybridMultilevel"/>
    <w:tmpl w:val="FEEA1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lorian Humpenöder">
    <w15:presenceInfo w15:providerId="Windows Live" w15:userId="fc2c38bceb4976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revisionView w:markup="0"/>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433F"/>
    <w:rsid w:val="00002AB5"/>
    <w:rsid w:val="00010688"/>
    <w:rsid w:val="00021408"/>
    <w:rsid w:val="00035AB8"/>
    <w:rsid w:val="00047CD5"/>
    <w:rsid w:val="00066571"/>
    <w:rsid w:val="000916E3"/>
    <w:rsid w:val="000B07E7"/>
    <w:rsid w:val="000D5BE8"/>
    <w:rsid w:val="000F17ED"/>
    <w:rsid w:val="00101129"/>
    <w:rsid w:val="00104B65"/>
    <w:rsid w:val="00107A39"/>
    <w:rsid w:val="00116D9A"/>
    <w:rsid w:val="00190DD2"/>
    <w:rsid w:val="001C6A45"/>
    <w:rsid w:val="001D091F"/>
    <w:rsid w:val="001E2632"/>
    <w:rsid w:val="001E68C9"/>
    <w:rsid w:val="001E7CEA"/>
    <w:rsid w:val="0020279B"/>
    <w:rsid w:val="00217BA3"/>
    <w:rsid w:val="00256688"/>
    <w:rsid w:val="002579C7"/>
    <w:rsid w:val="00286B48"/>
    <w:rsid w:val="002B04F8"/>
    <w:rsid w:val="002C156B"/>
    <w:rsid w:val="002C4DEC"/>
    <w:rsid w:val="002D7D07"/>
    <w:rsid w:val="002E7C85"/>
    <w:rsid w:val="00324594"/>
    <w:rsid w:val="0036074C"/>
    <w:rsid w:val="0036512A"/>
    <w:rsid w:val="00376AA1"/>
    <w:rsid w:val="003807A8"/>
    <w:rsid w:val="003912CB"/>
    <w:rsid w:val="003957CA"/>
    <w:rsid w:val="003C0461"/>
    <w:rsid w:val="003C44A6"/>
    <w:rsid w:val="003D5A84"/>
    <w:rsid w:val="003E5FDB"/>
    <w:rsid w:val="003F11D7"/>
    <w:rsid w:val="00411AA2"/>
    <w:rsid w:val="00415468"/>
    <w:rsid w:val="00447D3A"/>
    <w:rsid w:val="00464597"/>
    <w:rsid w:val="00472F44"/>
    <w:rsid w:val="00480BE6"/>
    <w:rsid w:val="00495F1D"/>
    <w:rsid w:val="004B6821"/>
    <w:rsid w:val="00504DFD"/>
    <w:rsid w:val="00556246"/>
    <w:rsid w:val="00593520"/>
    <w:rsid w:val="005D0848"/>
    <w:rsid w:val="005D2D67"/>
    <w:rsid w:val="00663DD4"/>
    <w:rsid w:val="00684F0D"/>
    <w:rsid w:val="00687258"/>
    <w:rsid w:val="00687C21"/>
    <w:rsid w:val="00697B87"/>
    <w:rsid w:val="006C0852"/>
    <w:rsid w:val="006C52E0"/>
    <w:rsid w:val="006F51D2"/>
    <w:rsid w:val="00714490"/>
    <w:rsid w:val="00714B63"/>
    <w:rsid w:val="00714E67"/>
    <w:rsid w:val="00723E6C"/>
    <w:rsid w:val="0072447D"/>
    <w:rsid w:val="007466E0"/>
    <w:rsid w:val="007566E7"/>
    <w:rsid w:val="007858C5"/>
    <w:rsid w:val="00795EE6"/>
    <w:rsid w:val="007B433F"/>
    <w:rsid w:val="007B506D"/>
    <w:rsid w:val="007D78C6"/>
    <w:rsid w:val="007F2168"/>
    <w:rsid w:val="0080729F"/>
    <w:rsid w:val="008157E1"/>
    <w:rsid w:val="00832C66"/>
    <w:rsid w:val="0084113D"/>
    <w:rsid w:val="008434E9"/>
    <w:rsid w:val="00846F48"/>
    <w:rsid w:val="00872B4E"/>
    <w:rsid w:val="008B53DB"/>
    <w:rsid w:val="008B75C2"/>
    <w:rsid w:val="008F61E8"/>
    <w:rsid w:val="0090163C"/>
    <w:rsid w:val="00931A5E"/>
    <w:rsid w:val="009373A5"/>
    <w:rsid w:val="009432B4"/>
    <w:rsid w:val="009525C6"/>
    <w:rsid w:val="0095271C"/>
    <w:rsid w:val="009638A3"/>
    <w:rsid w:val="009962C1"/>
    <w:rsid w:val="009A1CD6"/>
    <w:rsid w:val="009B2C9B"/>
    <w:rsid w:val="009C479D"/>
    <w:rsid w:val="009C5564"/>
    <w:rsid w:val="009E1841"/>
    <w:rsid w:val="00A15E48"/>
    <w:rsid w:val="00A2751C"/>
    <w:rsid w:val="00A348E4"/>
    <w:rsid w:val="00A63AAF"/>
    <w:rsid w:val="00AC3080"/>
    <w:rsid w:val="00AD589B"/>
    <w:rsid w:val="00AE54A9"/>
    <w:rsid w:val="00B249B1"/>
    <w:rsid w:val="00B36D33"/>
    <w:rsid w:val="00B45B67"/>
    <w:rsid w:val="00B54572"/>
    <w:rsid w:val="00B613EC"/>
    <w:rsid w:val="00B75338"/>
    <w:rsid w:val="00B90679"/>
    <w:rsid w:val="00B90891"/>
    <w:rsid w:val="00BA742F"/>
    <w:rsid w:val="00BD1042"/>
    <w:rsid w:val="00BF33BA"/>
    <w:rsid w:val="00C23760"/>
    <w:rsid w:val="00C23B06"/>
    <w:rsid w:val="00C43EDD"/>
    <w:rsid w:val="00CA2CE1"/>
    <w:rsid w:val="00CC1855"/>
    <w:rsid w:val="00CD1DED"/>
    <w:rsid w:val="00D131A7"/>
    <w:rsid w:val="00D3012D"/>
    <w:rsid w:val="00D77E84"/>
    <w:rsid w:val="00DA6B33"/>
    <w:rsid w:val="00DC3263"/>
    <w:rsid w:val="00DE5C4D"/>
    <w:rsid w:val="00DE5F22"/>
    <w:rsid w:val="00E033C4"/>
    <w:rsid w:val="00E06D7C"/>
    <w:rsid w:val="00E12BA9"/>
    <w:rsid w:val="00E21369"/>
    <w:rsid w:val="00E35C42"/>
    <w:rsid w:val="00E42487"/>
    <w:rsid w:val="00E55C62"/>
    <w:rsid w:val="00E71FA7"/>
    <w:rsid w:val="00E728F5"/>
    <w:rsid w:val="00E86F3F"/>
    <w:rsid w:val="00EB0E45"/>
    <w:rsid w:val="00EF0F61"/>
    <w:rsid w:val="00F07533"/>
    <w:rsid w:val="00F4489D"/>
    <w:rsid w:val="00F44FB5"/>
    <w:rsid w:val="00F67220"/>
    <w:rsid w:val="00F7347C"/>
    <w:rsid w:val="00F77EA1"/>
    <w:rsid w:val="00F83F94"/>
    <w:rsid w:val="00F940AC"/>
    <w:rsid w:val="00FA61E9"/>
    <w:rsid w:val="00FB77E9"/>
    <w:rsid w:val="00FC0709"/>
    <w:rsid w:val="00FD6B75"/>
    <w:rsid w:val="00FE7748"/>
    <w:rsid w:val="00FF70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2DF8E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43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433F"/>
    <w:rPr>
      <w:rFonts w:ascii="Tahoma" w:hAnsi="Tahoma" w:cs="Tahoma"/>
      <w:sz w:val="16"/>
      <w:szCs w:val="16"/>
    </w:rPr>
  </w:style>
  <w:style w:type="character" w:styleId="CommentReference">
    <w:name w:val="annotation reference"/>
    <w:basedOn w:val="DefaultParagraphFont"/>
    <w:uiPriority w:val="99"/>
    <w:semiHidden/>
    <w:unhideWhenUsed/>
    <w:rsid w:val="007B433F"/>
    <w:rPr>
      <w:sz w:val="16"/>
      <w:szCs w:val="16"/>
    </w:rPr>
  </w:style>
  <w:style w:type="paragraph" w:styleId="CommentText">
    <w:name w:val="annotation text"/>
    <w:basedOn w:val="Normal"/>
    <w:link w:val="CommentTextChar"/>
    <w:uiPriority w:val="99"/>
    <w:unhideWhenUsed/>
    <w:rsid w:val="007B433F"/>
    <w:pPr>
      <w:spacing w:line="240" w:lineRule="auto"/>
    </w:pPr>
    <w:rPr>
      <w:sz w:val="20"/>
      <w:szCs w:val="20"/>
    </w:rPr>
  </w:style>
  <w:style w:type="character" w:customStyle="1" w:styleId="CommentTextChar">
    <w:name w:val="Comment Text Char"/>
    <w:basedOn w:val="DefaultParagraphFont"/>
    <w:link w:val="CommentText"/>
    <w:uiPriority w:val="99"/>
    <w:rsid w:val="007B433F"/>
    <w:rPr>
      <w:sz w:val="20"/>
      <w:szCs w:val="20"/>
    </w:rPr>
  </w:style>
  <w:style w:type="paragraph" w:styleId="CommentSubject">
    <w:name w:val="annotation subject"/>
    <w:basedOn w:val="CommentText"/>
    <w:next w:val="CommentText"/>
    <w:link w:val="CommentSubjectChar"/>
    <w:uiPriority w:val="99"/>
    <w:semiHidden/>
    <w:unhideWhenUsed/>
    <w:rsid w:val="007B433F"/>
    <w:rPr>
      <w:b/>
      <w:bCs/>
    </w:rPr>
  </w:style>
  <w:style w:type="character" w:customStyle="1" w:styleId="CommentSubjectChar">
    <w:name w:val="Comment Subject Char"/>
    <w:basedOn w:val="CommentTextChar"/>
    <w:link w:val="CommentSubject"/>
    <w:uiPriority w:val="99"/>
    <w:semiHidden/>
    <w:rsid w:val="007B433F"/>
    <w:rPr>
      <w:b/>
      <w:bCs/>
      <w:sz w:val="20"/>
      <w:szCs w:val="20"/>
    </w:rPr>
  </w:style>
  <w:style w:type="paragraph" w:styleId="Header">
    <w:name w:val="header"/>
    <w:basedOn w:val="Normal"/>
    <w:link w:val="HeaderChar"/>
    <w:uiPriority w:val="99"/>
    <w:unhideWhenUsed/>
    <w:rsid w:val="00376AA1"/>
    <w:pPr>
      <w:tabs>
        <w:tab w:val="center" w:pos="4252"/>
        <w:tab w:val="right" w:pos="8504"/>
      </w:tabs>
      <w:snapToGrid w:val="0"/>
    </w:pPr>
  </w:style>
  <w:style w:type="character" w:customStyle="1" w:styleId="HeaderChar">
    <w:name w:val="Header Char"/>
    <w:basedOn w:val="DefaultParagraphFont"/>
    <w:link w:val="Header"/>
    <w:uiPriority w:val="99"/>
    <w:rsid w:val="00376AA1"/>
  </w:style>
  <w:style w:type="paragraph" w:styleId="Footer">
    <w:name w:val="footer"/>
    <w:basedOn w:val="Normal"/>
    <w:link w:val="FooterChar"/>
    <w:uiPriority w:val="99"/>
    <w:unhideWhenUsed/>
    <w:rsid w:val="00376AA1"/>
    <w:pPr>
      <w:tabs>
        <w:tab w:val="center" w:pos="4252"/>
        <w:tab w:val="right" w:pos="8504"/>
      </w:tabs>
      <w:snapToGrid w:val="0"/>
    </w:pPr>
  </w:style>
  <w:style w:type="character" w:customStyle="1" w:styleId="FooterChar">
    <w:name w:val="Footer Char"/>
    <w:basedOn w:val="DefaultParagraphFont"/>
    <w:link w:val="Footer"/>
    <w:uiPriority w:val="99"/>
    <w:rsid w:val="00376AA1"/>
  </w:style>
  <w:style w:type="paragraph" w:styleId="ListParagraph">
    <w:name w:val="List Paragraph"/>
    <w:basedOn w:val="Normal"/>
    <w:uiPriority w:val="34"/>
    <w:qFormat/>
    <w:rsid w:val="00B613EC"/>
    <w:pPr>
      <w:ind w:left="720"/>
      <w:contextualSpacing/>
    </w:pPr>
  </w:style>
  <w:style w:type="character" w:styleId="Hyperlink">
    <w:name w:val="Hyperlink"/>
    <w:basedOn w:val="DefaultParagraphFont"/>
    <w:uiPriority w:val="99"/>
    <w:unhideWhenUsed/>
    <w:rsid w:val="00B613EC"/>
    <w:rPr>
      <w:color w:val="0000FF"/>
      <w:u w:val="single"/>
    </w:rPr>
  </w:style>
  <w:style w:type="paragraph" w:customStyle="1" w:styleId="EndNoteBibliography">
    <w:name w:val="EndNote Bibliography"/>
    <w:basedOn w:val="Normal"/>
    <w:link w:val="EndNoteBibliography0"/>
    <w:rsid w:val="00B613EC"/>
    <w:pPr>
      <w:widowControl w:val="0"/>
      <w:spacing w:after="0" w:line="240" w:lineRule="auto"/>
      <w:jc w:val="both"/>
    </w:pPr>
    <w:rPr>
      <w:rFonts w:ascii="Calibri" w:eastAsia="MS Mincho" w:hAnsi="Calibri" w:cs="Times New Roman"/>
      <w:noProof/>
      <w:kern w:val="2"/>
      <w:szCs w:val="24"/>
      <w:lang w:val="x-none" w:eastAsia="x-none"/>
    </w:rPr>
  </w:style>
  <w:style w:type="character" w:customStyle="1" w:styleId="EndNoteBibliography0">
    <w:name w:val="EndNote Bibliography (文字)"/>
    <w:link w:val="EndNoteBibliography"/>
    <w:rsid w:val="00B613EC"/>
    <w:rPr>
      <w:rFonts w:ascii="Calibri" w:eastAsia="MS Mincho" w:hAnsi="Calibri" w:cs="Times New Roman"/>
      <w:noProof/>
      <w:kern w:val="2"/>
      <w:szCs w:val="24"/>
      <w:lang w:val="x-none" w:eastAsia="x-none"/>
    </w:rPr>
  </w:style>
  <w:style w:type="character" w:customStyle="1" w:styleId="AnyStyle">
    <w:name w:val="AnyStyle"/>
    <w:uiPriority w:val="99"/>
    <w:rsid w:val="00B613EC"/>
  </w:style>
  <w:style w:type="paragraph" w:styleId="Bibliography">
    <w:name w:val="Bibliography"/>
    <w:basedOn w:val="Normal"/>
    <w:next w:val="Normal"/>
    <w:uiPriority w:val="37"/>
    <w:semiHidden/>
    <w:unhideWhenUsed/>
    <w:rsid w:val="00B613EC"/>
  </w:style>
  <w:style w:type="table" w:styleId="TableGrid">
    <w:name w:val="Table Grid"/>
    <w:basedOn w:val="TableNormal"/>
    <w:uiPriority w:val="59"/>
    <w:rsid w:val="00286B48"/>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86B48"/>
    <w:pPr>
      <w:spacing w:line="240" w:lineRule="auto"/>
    </w:pPr>
    <w:rPr>
      <w:rFonts w:ascii="Times New Roman" w:hAnsi="Times New Roman"/>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43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433F"/>
    <w:rPr>
      <w:rFonts w:ascii="Tahoma" w:hAnsi="Tahoma" w:cs="Tahoma"/>
      <w:sz w:val="16"/>
      <w:szCs w:val="16"/>
    </w:rPr>
  </w:style>
  <w:style w:type="character" w:styleId="CommentReference">
    <w:name w:val="annotation reference"/>
    <w:basedOn w:val="DefaultParagraphFont"/>
    <w:uiPriority w:val="99"/>
    <w:semiHidden/>
    <w:unhideWhenUsed/>
    <w:rsid w:val="007B433F"/>
    <w:rPr>
      <w:sz w:val="16"/>
      <w:szCs w:val="16"/>
    </w:rPr>
  </w:style>
  <w:style w:type="paragraph" w:styleId="CommentText">
    <w:name w:val="annotation text"/>
    <w:basedOn w:val="Normal"/>
    <w:link w:val="CommentTextChar"/>
    <w:uiPriority w:val="99"/>
    <w:unhideWhenUsed/>
    <w:rsid w:val="007B433F"/>
    <w:pPr>
      <w:spacing w:line="240" w:lineRule="auto"/>
    </w:pPr>
    <w:rPr>
      <w:sz w:val="20"/>
      <w:szCs w:val="20"/>
    </w:rPr>
  </w:style>
  <w:style w:type="character" w:customStyle="1" w:styleId="CommentTextChar">
    <w:name w:val="Comment Text Char"/>
    <w:basedOn w:val="DefaultParagraphFont"/>
    <w:link w:val="CommentText"/>
    <w:uiPriority w:val="99"/>
    <w:rsid w:val="007B433F"/>
    <w:rPr>
      <w:sz w:val="20"/>
      <w:szCs w:val="20"/>
    </w:rPr>
  </w:style>
  <w:style w:type="paragraph" w:styleId="CommentSubject">
    <w:name w:val="annotation subject"/>
    <w:basedOn w:val="CommentText"/>
    <w:next w:val="CommentText"/>
    <w:link w:val="CommentSubjectChar"/>
    <w:uiPriority w:val="99"/>
    <w:semiHidden/>
    <w:unhideWhenUsed/>
    <w:rsid w:val="007B433F"/>
    <w:rPr>
      <w:b/>
      <w:bCs/>
    </w:rPr>
  </w:style>
  <w:style w:type="character" w:customStyle="1" w:styleId="CommentSubjectChar">
    <w:name w:val="Comment Subject Char"/>
    <w:basedOn w:val="CommentTextChar"/>
    <w:link w:val="CommentSubject"/>
    <w:uiPriority w:val="99"/>
    <w:semiHidden/>
    <w:rsid w:val="007B433F"/>
    <w:rPr>
      <w:b/>
      <w:bCs/>
      <w:sz w:val="20"/>
      <w:szCs w:val="20"/>
    </w:rPr>
  </w:style>
  <w:style w:type="paragraph" w:styleId="Header">
    <w:name w:val="header"/>
    <w:basedOn w:val="Normal"/>
    <w:link w:val="HeaderChar"/>
    <w:uiPriority w:val="99"/>
    <w:unhideWhenUsed/>
    <w:rsid w:val="00376AA1"/>
    <w:pPr>
      <w:tabs>
        <w:tab w:val="center" w:pos="4252"/>
        <w:tab w:val="right" w:pos="8504"/>
      </w:tabs>
      <w:snapToGrid w:val="0"/>
    </w:pPr>
  </w:style>
  <w:style w:type="character" w:customStyle="1" w:styleId="HeaderChar">
    <w:name w:val="Header Char"/>
    <w:basedOn w:val="DefaultParagraphFont"/>
    <w:link w:val="Header"/>
    <w:uiPriority w:val="99"/>
    <w:rsid w:val="00376AA1"/>
  </w:style>
  <w:style w:type="paragraph" w:styleId="Footer">
    <w:name w:val="footer"/>
    <w:basedOn w:val="Normal"/>
    <w:link w:val="FooterChar"/>
    <w:uiPriority w:val="99"/>
    <w:unhideWhenUsed/>
    <w:rsid w:val="00376AA1"/>
    <w:pPr>
      <w:tabs>
        <w:tab w:val="center" w:pos="4252"/>
        <w:tab w:val="right" w:pos="8504"/>
      </w:tabs>
      <w:snapToGrid w:val="0"/>
    </w:pPr>
  </w:style>
  <w:style w:type="character" w:customStyle="1" w:styleId="FooterChar">
    <w:name w:val="Footer Char"/>
    <w:basedOn w:val="DefaultParagraphFont"/>
    <w:link w:val="Footer"/>
    <w:uiPriority w:val="99"/>
    <w:rsid w:val="00376AA1"/>
  </w:style>
  <w:style w:type="paragraph" w:styleId="ListParagraph">
    <w:name w:val="List Paragraph"/>
    <w:basedOn w:val="Normal"/>
    <w:uiPriority w:val="34"/>
    <w:qFormat/>
    <w:rsid w:val="00B613EC"/>
    <w:pPr>
      <w:ind w:left="720"/>
      <w:contextualSpacing/>
    </w:pPr>
  </w:style>
  <w:style w:type="character" w:styleId="Hyperlink">
    <w:name w:val="Hyperlink"/>
    <w:basedOn w:val="DefaultParagraphFont"/>
    <w:uiPriority w:val="99"/>
    <w:unhideWhenUsed/>
    <w:rsid w:val="00B613EC"/>
    <w:rPr>
      <w:color w:val="0000FF"/>
      <w:u w:val="single"/>
    </w:rPr>
  </w:style>
  <w:style w:type="paragraph" w:customStyle="1" w:styleId="EndNoteBibliography">
    <w:name w:val="EndNote Bibliography"/>
    <w:basedOn w:val="Normal"/>
    <w:link w:val="EndNoteBibliography0"/>
    <w:rsid w:val="00B613EC"/>
    <w:pPr>
      <w:widowControl w:val="0"/>
      <w:spacing w:after="0" w:line="240" w:lineRule="auto"/>
      <w:jc w:val="both"/>
    </w:pPr>
    <w:rPr>
      <w:rFonts w:ascii="Calibri" w:eastAsia="MS Mincho" w:hAnsi="Calibri" w:cs="Times New Roman"/>
      <w:noProof/>
      <w:kern w:val="2"/>
      <w:szCs w:val="24"/>
      <w:lang w:val="x-none" w:eastAsia="x-none"/>
    </w:rPr>
  </w:style>
  <w:style w:type="character" w:customStyle="1" w:styleId="EndNoteBibliography0">
    <w:name w:val="EndNote Bibliography (文字)"/>
    <w:link w:val="EndNoteBibliography"/>
    <w:rsid w:val="00B613EC"/>
    <w:rPr>
      <w:rFonts w:ascii="Calibri" w:eastAsia="MS Mincho" w:hAnsi="Calibri" w:cs="Times New Roman"/>
      <w:noProof/>
      <w:kern w:val="2"/>
      <w:szCs w:val="24"/>
      <w:lang w:val="x-none" w:eastAsia="x-none"/>
    </w:rPr>
  </w:style>
  <w:style w:type="character" w:customStyle="1" w:styleId="AnyStyle">
    <w:name w:val="AnyStyle"/>
    <w:uiPriority w:val="99"/>
    <w:rsid w:val="00B613EC"/>
  </w:style>
  <w:style w:type="paragraph" w:styleId="Bibliography">
    <w:name w:val="Bibliography"/>
    <w:basedOn w:val="Normal"/>
    <w:next w:val="Normal"/>
    <w:uiPriority w:val="37"/>
    <w:semiHidden/>
    <w:unhideWhenUsed/>
    <w:rsid w:val="00B613EC"/>
  </w:style>
  <w:style w:type="table" w:styleId="TableGrid">
    <w:name w:val="Table Grid"/>
    <w:basedOn w:val="TableNormal"/>
    <w:uiPriority w:val="59"/>
    <w:rsid w:val="00286B48"/>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86B48"/>
    <w:pPr>
      <w:spacing w:line="240" w:lineRule="auto"/>
    </w:pPr>
    <w:rPr>
      <w:rFonts w:ascii="Times New Roman" w:hAnsi="Times New Roman"/>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ntTable" Target="fontTable.xml"/><Relationship Id="rId31" Type="http://schemas.openxmlformats.org/officeDocument/2006/relationships/theme" Target="theme/theme1.xml"/><Relationship Id="rId6" Type="http://schemas.openxmlformats.org/officeDocument/2006/relationships/footnotes" Target="footnotes.xml"/><Relationship Id="rId9" Type="http://schemas.openxmlformats.org/officeDocument/2006/relationships/image" Target="media/image1.png"/><Relationship Id="rId33" Type="http://schemas.microsoft.com/office/2011/relationships/people" Target="people.xml"/><Relationship Id="rId7" Type="http://schemas.openxmlformats.org/officeDocument/2006/relationships/endnotes" Target="endnotes.xml"/><Relationship Id="rId8" Type="http://schemas.openxmlformats.org/officeDocument/2006/relationships/hyperlink" Target="http://www.nies.go.jp/social/dp/pdf/2012-01.pdf" TargetMode="External"/><Relationship Id="rId34" Type="http://schemas.microsoft.com/office/2011/relationships/commentsExtended" Target="commentsExtended.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5623</Words>
  <Characters>32055</Characters>
  <Application>Microsoft Macintosh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 Popp</dc:creator>
  <cp:lastModifiedBy>I MAC 8</cp:lastModifiedBy>
  <cp:revision>5</cp:revision>
  <dcterms:created xsi:type="dcterms:W3CDTF">2016-08-05T08:44:00Z</dcterms:created>
  <dcterms:modified xsi:type="dcterms:W3CDTF">2016-10-13T09:53:00Z</dcterms:modified>
</cp:coreProperties>
</file>