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23ED0996" w:rsidR="00CE6EAA" w:rsidRPr="00BF1BF9" w:rsidRDefault="00186C0A" w:rsidP="00FF3503">
      <w:pPr>
        <w:spacing w:before="100" w:beforeAutospacing="1" w:after="100" w:afterAutospacing="1"/>
        <w:jc w:val="center"/>
        <w:rPr>
          <w:rFonts w:ascii="Myriad Pro" w:hAnsi="Myriad Pro"/>
          <w:i/>
          <w:sz w:val="22"/>
          <w:szCs w:val="22"/>
        </w:rPr>
      </w:pPr>
      <w:r>
        <w:rPr>
          <w:rFonts w:ascii="Myriad Pro" w:hAnsi="Myriad Pro"/>
          <w:i/>
          <w:sz w:val="22"/>
          <w:szCs w:val="22"/>
        </w:rPr>
        <w:t>Water Resources Research</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7C9D8AD6" w:rsidR="00FF3503" w:rsidRPr="00B77E40" w:rsidRDefault="00186C0A" w:rsidP="00FF3503">
      <w:pPr>
        <w:spacing w:before="100" w:beforeAutospacing="1" w:after="100" w:afterAutospacing="1"/>
        <w:jc w:val="center"/>
        <w:rPr>
          <w:rFonts w:ascii="Myriad Pro" w:hAnsi="Myriad Pro"/>
          <w:b/>
          <w:sz w:val="22"/>
          <w:szCs w:val="22"/>
        </w:rPr>
      </w:pPr>
      <w:r w:rsidRPr="00186C0A">
        <w:rPr>
          <w:rFonts w:ascii="Myriad Pro" w:hAnsi="Myriad Pro"/>
          <w:b/>
          <w:sz w:val="22"/>
          <w:szCs w:val="22"/>
        </w:rPr>
        <w:t>Hydropower production benefits more from 1.5°C than 2°C climate scenario</w:t>
      </w:r>
    </w:p>
    <w:p w14:paraId="42FFC78E" w14:textId="2E3792D7" w:rsidR="00FF3503" w:rsidRPr="00A92AD2" w:rsidRDefault="00186C0A" w:rsidP="00FF3503">
      <w:pPr>
        <w:spacing w:before="100" w:beforeAutospacing="1" w:after="100" w:afterAutospacing="1"/>
        <w:jc w:val="center"/>
        <w:rPr>
          <w:rFonts w:ascii="Myriad Pro" w:hAnsi="Myriad Pro"/>
          <w:sz w:val="22"/>
          <w:szCs w:val="22"/>
        </w:rPr>
      </w:pPr>
      <w:r>
        <w:rPr>
          <w:rFonts w:ascii="Myriad Pro" w:hAnsi="Myriad Pro"/>
          <w:sz w:val="22"/>
          <w:szCs w:val="22"/>
        </w:rPr>
        <w:t>Ying Meng</w:t>
      </w:r>
      <w:r w:rsidRPr="00186C0A">
        <w:rPr>
          <w:rFonts w:ascii="Myriad Pro" w:hAnsi="Myriad Pro"/>
          <w:sz w:val="22"/>
          <w:szCs w:val="22"/>
          <w:vertAlign w:val="superscript"/>
        </w:rPr>
        <w:t>1,2</w:t>
      </w:r>
      <w:r>
        <w:rPr>
          <w:rFonts w:ascii="Myriad Pro" w:hAnsi="Myriad Pro"/>
          <w:sz w:val="22"/>
          <w:szCs w:val="22"/>
        </w:rPr>
        <w:t>, Junguo Liu</w:t>
      </w:r>
      <w:r w:rsidRPr="00186C0A">
        <w:rPr>
          <w:rFonts w:ascii="Myriad Pro" w:hAnsi="Myriad Pro"/>
          <w:sz w:val="22"/>
          <w:szCs w:val="22"/>
          <w:vertAlign w:val="superscript"/>
        </w:rPr>
        <w:t>2</w:t>
      </w:r>
      <w:r>
        <w:rPr>
          <w:rFonts w:ascii="Myriad Pro" w:hAnsi="Myriad Pro"/>
          <w:sz w:val="22"/>
          <w:szCs w:val="22"/>
        </w:rPr>
        <w:t>, Sylvain Leduc</w:t>
      </w:r>
      <w:r w:rsidRPr="00186C0A">
        <w:rPr>
          <w:rFonts w:ascii="Myriad Pro" w:hAnsi="Myriad Pro"/>
          <w:sz w:val="22"/>
          <w:szCs w:val="22"/>
          <w:vertAlign w:val="superscript"/>
        </w:rPr>
        <w:t>3</w:t>
      </w:r>
      <w:r>
        <w:rPr>
          <w:rFonts w:ascii="Myriad Pro" w:hAnsi="Myriad Pro"/>
          <w:sz w:val="22"/>
          <w:szCs w:val="22"/>
        </w:rPr>
        <w:t>, Sennai Mesfun</w:t>
      </w:r>
      <w:r w:rsidRPr="00186C0A">
        <w:rPr>
          <w:rFonts w:ascii="Myriad Pro" w:hAnsi="Myriad Pro"/>
          <w:sz w:val="22"/>
          <w:szCs w:val="22"/>
          <w:vertAlign w:val="superscript"/>
        </w:rPr>
        <w:t>3,4</w:t>
      </w:r>
      <w:r>
        <w:rPr>
          <w:rFonts w:ascii="Myriad Pro" w:hAnsi="Myriad Pro"/>
          <w:sz w:val="22"/>
          <w:szCs w:val="22"/>
        </w:rPr>
        <w:t>, Florian Kraxner</w:t>
      </w:r>
      <w:r w:rsidRPr="00186C0A">
        <w:rPr>
          <w:rFonts w:ascii="Myriad Pro" w:hAnsi="Myriad Pro"/>
          <w:sz w:val="22"/>
          <w:szCs w:val="22"/>
          <w:vertAlign w:val="superscript"/>
        </w:rPr>
        <w:t>3</w:t>
      </w:r>
      <w:r>
        <w:rPr>
          <w:rFonts w:ascii="Myriad Pro" w:hAnsi="Myriad Pro"/>
          <w:sz w:val="22"/>
          <w:szCs w:val="22"/>
        </w:rPr>
        <w:t xml:space="preserve">, </w:t>
      </w:r>
      <w:proofErr w:type="spellStart"/>
      <w:r>
        <w:rPr>
          <w:rFonts w:ascii="Myriad Pro" w:hAnsi="Myriad Pro"/>
          <w:sz w:val="22"/>
          <w:szCs w:val="22"/>
        </w:rPr>
        <w:t>Ganquan</w:t>
      </w:r>
      <w:proofErr w:type="spellEnd"/>
      <w:r>
        <w:rPr>
          <w:rFonts w:ascii="Myriad Pro" w:hAnsi="Myriad Pro"/>
          <w:sz w:val="22"/>
          <w:szCs w:val="22"/>
        </w:rPr>
        <w:t xml:space="preserve"> Mao</w:t>
      </w:r>
      <w:r w:rsidRPr="00186C0A">
        <w:rPr>
          <w:rFonts w:ascii="Myriad Pro" w:hAnsi="Myriad Pro"/>
          <w:sz w:val="22"/>
          <w:szCs w:val="22"/>
          <w:vertAlign w:val="superscript"/>
        </w:rPr>
        <w:t>2,5</w:t>
      </w:r>
      <w:r>
        <w:rPr>
          <w:rFonts w:ascii="Myriad Pro" w:hAnsi="Myriad Pro"/>
          <w:sz w:val="22"/>
          <w:szCs w:val="22"/>
        </w:rPr>
        <w:t>, Wei Qi</w:t>
      </w:r>
      <w:r w:rsidRPr="00186C0A">
        <w:rPr>
          <w:rFonts w:ascii="Myriad Pro" w:hAnsi="Myriad Pro"/>
          <w:sz w:val="22"/>
          <w:szCs w:val="22"/>
          <w:vertAlign w:val="superscript"/>
        </w:rPr>
        <w:t>2</w:t>
      </w:r>
      <w:r w:rsidR="00A92AD2">
        <w:rPr>
          <w:rFonts w:ascii="Myriad Pro" w:hAnsi="Myriad Pro"/>
          <w:sz w:val="22"/>
          <w:szCs w:val="22"/>
        </w:rPr>
        <w:t xml:space="preserve"> </w:t>
      </w:r>
      <w:r w:rsidR="007C25EE">
        <w:rPr>
          <w:rFonts w:ascii="Myriad Pro" w:hAnsi="Myriad Pro" w:hint="eastAsia"/>
          <w:sz w:val="22"/>
          <w:szCs w:val="22"/>
          <w:lang w:eastAsia="zh-CN"/>
        </w:rPr>
        <w:t>an</w:t>
      </w:r>
      <w:r w:rsidR="007C25EE">
        <w:rPr>
          <w:rFonts w:ascii="Myriad Pro" w:hAnsi="Myriad Pro"/>
          <w:sz w:val="22"/>
          <w:szCs w:val="22"/>
        </w:rPr>
        <w:t xml:space="preserve">d </w:t>
      </w:r>
      <w:proofErr w:type="spellStart"/>
      <w:r w:rsidR="007C25EE">
        <w:rPr>
          <w:rFonts w:ascii="Myriad Pro" w:hAnsi="Myriad Pro"/>
          <w:sz w:val="22"/>
          <w:szCs w:val="22"/>
        </w:rPr>
        <w:t>Zifeng</w:t>
      </w:r>
      <w:proofErr w:type="spellEnd"/>
      <w:r w:rsidR="007C25EE">
        <w:rPr>
          <w:rFonts w:ascii="Myriad Pro" w:hAnsi="Myriad Pro"/>
          <w:sz w:val="22"/>
          <w:szCs w:val="22"/>
        </w:rPr>
        <w:t xml:space="preserve"> Wang</w:t>
      </w:r>
      <w:r w:rsidR="007C25EE" w:rsidRPr="00186C0A">
        <w:rPr>
          <w:rFonts w:ascii="Myriad Pro" w:hAnsi="Myriad Pro"/>
          <w:sz w:val="22"/>
          <w:szCs w:val="22"/>
          <w:vertAlign w:val="superscript"/>
        </w:rPr>
        <w:t>2,6</w:t>
      </w:r>
    </w:p>
    <w:p w14:paraId="69976EF8" w14:textId="2A0A829A" w:rsidR="00B77E40" w:rsidRPr="00B77E40" w:rsidRDefault="00186C0A" w:rsidP="00FF3503">
      <w:pPr>
        <w:spacing w:before="100" w:beforeAutospacing="1" w:after="100" w:afterAutospacing="1"/>
        <w:jc w:val="center"/>
        <w:rPr>
          <w:rFonts w:ascii="Myriad Pro" w:hAnsi="Myriad Pro"/>
          <w:sz w:val="18"/>
          <w:szCs w:val="18"/>
        </w:rPr>
      </w:pPr>
      <w:r w:rsidRPr="00186C0A">
        <w:rPr>
          <w:rFonts w:ascii="Myriad Pro" w:hAnsi="Myriad Pro"/>
          <w:sz w:val="18"/>
          <w:szCs w:val="18"/>
          <w:vertAlign w:val="superscript"/>
        </w:rPr>
        <w:t>1</w:t>
      </w:r>
      <w:r w:rsidRPr="00186C0A">
        <w:rPr>
          <w:rFonts w:ascii="Myriad Pro" w:hAnsi="Myriad Pro"/>
          <w:sz w:val="18"/>
          <w:szCs w:val="18"/>
        </w:rPr>
        <w:t>School of Environment, Harbin Institute of Technology, Harbin 150090, China</w:t>
      </w:r>
      <w:r>
        <w:rPr>
          <w:rFonts w:ascii="Myriad Pro" w:hAnsi="Myriad Pro"/>
          <w:sz w:val="18"/>
          <w:szCs w:val="18"/>
        </w:rPr>
        <w:t xml:space="preserve">, </w:t>
      </w:r>
      <w:r w:rsidRPr="00186C0A">
        <w:rPr>
          <w:rFonts w:ascii="Myriad Pro" w:hAnsi="Myriad Pro"/>
          <w:sz w:val="18"/>
          <w:szCs w:val="18"/>
          <w:vertAlign w:val="superscript"/>
        </w:rPr>
        <w:t>2</w:t>
      </w:r>
      <w:r w:rsidRPr="00186C0A">
        <w:rPr>
          <w:rFonts w:ascii="Myriad Pro" w:hAnsi="Myriad Pro"/>
          <w:sz w:val="18"/>
          <w:szCs w:val="18"/>
        </w:rPr>
        <w:t>School of Environmental Science and Engineering, Southern University of Science and Technology, Shenzhen, 518055, China</w:t>
      </w:r>
      <w:r w:rsidR="0082399E">
        <w:rPr>
          <w:rFonts w:ascii="Myriad Pro" w:hAnsi="Myriad Pro"/>
          <w:sz w:val="18"/>
          <w:szCs w:val="18"/>
        </w:rPr>
        <w:t xml:space="preserve">, </w:t>
      </w:r>
      <w:r w:rsidR="0082399E" w:rsidRPr="0082399E">
        <w:rPr>
          <w:rFonts w:ascii="Myriad Pro" w:hAnsi="Myriad Pro"/>
          <w:sz w:val="18"/>
          <w:szCs w:val="18"/>
          <w:vertAlign w:val="superscript"/>
        </w:rPr>
        <w:t>3</w:t>
      </w:r>
      <w:r w:rsidR="0082399E" w:rsidRPr="0082399E">
        <w:rPr>
          <w:rFonts w:ascii="Myriad Pro" w:hAnsi="Myriad Pro"/>
          <w:sz w:val="18"/>
          <w:szCs w:val="18"/>
        </w:rPr>
        <w:t xml:space="preserve">International Institute for Applied Systems Analysis (IIASA), A-2361 </w:t>
      </w:r>
      <w:proofErr w:type="spellStart"/>
      <w:r w:rsidR="0082399E" w:rsidRPr="0082399E">
        <w:rPr>
          <w:rFonts w:ascii="Myriad Pro" w:hAnsi="Myriad Pro"/>
          <w:sz w:val="18"/>
          <w:szCs w:val="18"/>
        </w:rPr>
        <w:t>Laxenburg</w:t>
      </w:r>
      <w:proofErr w:type="spellEnd"/>
      <w:r w:rsidR="0082399E" w:rsidRPr="0082399E">
        <w:rPr>
          <w:rFonts w:ascii="Myriad Pro" w:hAnsi="Myriad Pro"/>
          <w:sz w:val="18"/>
          <w:szCs w:val="18"/>
        </w:rPr>
        <w:t>, Austria</w:t>
      </w:r>
      <w:r w:rsidR="0082399E">
        <w:rPr>
          <w:rFonts w:ascii="Myriad Pro" w:hAnsi="Myriad Pro"/>
          <w:sz w:val="18"/>
          <w:szCs w:val="18"/>
        </w:rPr>
        <w:t xml:space="preserve">, </w:t>
      </w:r>
      <w:r w:rsidR="0082399E" w:rsidRPr="0082399E">
        <w:rPr>
          <w:rFonts w:ascii="Myriad Pro" w:hAnsi="Myriad Pro"/>
          <w:sz w:val="18"/>
          <w:szCs w:val="18"/>
          <w:vertAlign w:val="superscript"/>
        </w:rPr>
        <w:t>4</w:t>
      </w:r>
      <w:r w:rsidR="0082399E" w:rsidRPr="0082399E">
        <w:rPr>
          <w:rFonts w:ascii="Myriad Pro" w:hAnsi="Myriad Pro"/>
          <w:sz w:val="18"/>
          <w:szCs w:val="18"/>
        </w:rPr>
        <w:t>RISE Research Institute of Sweden (RISE), P.O Box 5604, 114 86, Stockholm</w:t>
      </w:r>
      <w:r w:rsidR="0082399E">
        <w:rPr>
          <w:rFonts w:ascii="Myriad Pro" w:hAnsi="Myriad Pro"/>
          <w:sz w:val="18"/>
          <w:szCs w:val="18"/>
        </w:rPr>
        <w:t xml:space="preserve">, </w:t>
      </w:r>
      <w:r w:rsidR="0082399E" w:rsidRPr="0082399E">
        <w:rPr>
          <w:rFonts w:ascii="Myriad Pro" w:hAnsi="Myriad Pro"/>
          <w:sz w:val="18"/>
          <w:szCs w:val="18"/>
          <w:vertAlign w:val="superscript"/>
        </w:rPr>
        <w:t>5</w:t>
      </w:r>
      <w:r w:rsidR="0082399E" w:rsidRPr="0082399E">
        <w:rPr>
          <w:rFonts w:ascii="Myriad Pro" w:hAnsi="Myriad Pro"/>
          <w:sz w:val="18"/>
          <w:szCs w:val="18"/>
        </w:rPr>
        <w:t>School of Water Resources and Hydropower Engineering, Wuhan University, Wuhan, 430072, China</w:t>
      </w:r>
      <w:r w:rsidR="0082399E">
        <w:rPr>
          <w:rFonts w:ascii="Myriad Pro" w:hAnsi="Myriad Pro"/>
          <w:sz w:val="18"/>
          <w:szCs w:val="18"/>
        </w:rPr>
        <w:t xml:space="preserve">, </w:t>
      </w:r>
      <w:r w:rsidR="0082399E" w:rsidRPr="0082399E">
        <w:rPr>
          <w:rFonts w:ascii="Myriad Pro" w:hAnsi="Myriad Pro"/>
          <w:sz w:val="18"/>
          <w:szCs w:val="18"/>
          <w:vertAlign w:val="superscript"/>
        </w:rPr>
        <w:t>6</w:t>
      </w:r>
      <w:r w:rsidR="0082399E" w:rsidRPr="0082399E">
        <w:rPr>
          <w:rFonts w:ascii="Myriad Pro" w:hAnsi="Myriad Pro"/>
          <w:sz w:val="18"/>
          <w:szCs w:val="18"/>
        </w:rPr>
        <w:t>Department of Geography, The University of Hong Kong, Hong Kong SAR, China</w:t>
      </w:r>
    </w:p>
    <w:p w14:paraId="71891EDF" w14:textId="22DFAE85" w:rsidR="00094365" w:rsidRPr="00CE6EAA" w:rsidRDefault="00094365" w:rsidP="00825950">
      <w:pPr>
        <w:spacing w:before="100" w:beforeAutospacing="1" w:after="100" w:afterAutospacing="1"/>
        <w:jc w:val="center"/>
        <w:rPr>
          <w:rFonts w:ascii="Myriad Pro" w:hAnsi="Myriad Pro"/>
          <w:sz w:val="22"/>
          <w:szCs w:val="22"/>
        </w:rPr>
      </w:pP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699123F4" w:rsidR="00111843" w:rsidRPr="00CE6EAA" w:rsidRDefault="00111843" w:rsidP="00111843">
      <w:pPr>
        <w:ind w:left="720"/>
        <w:rPr>
          <w:rFonts w:ascii="Myriad Pro" w:hAnsi="Myriad Pro"/>
          <w:sz w:val="22"/>
          <w:szCs w:val="22"/>
        </w:rPr>
      </w:pPr>
      <w:r w:rsidRPr="00CE6EAA">
        <w:rPr>
          <w:rFonts w:ascii="Myriad Pro" w:hAnsi="Myriad Pro"/>
          <w:sz w:val="22"/>
          <w:szCs w:val="22"/>
        </w:rPr>
        <w:t>Text S1 to S</w:t>
      </w:r>
      <w:r w:rsidR="00D7196F">
        <w:rPr>
          <w:rFonts w:ascii="Myriad Pro" w:hAnsi="Myriad Pro"/>
          <w:sz w:val="22"/>
          <w:szCs w:val="22"/>
        </w:rPr>
        <w:t>5</w:t>
      </w:r>
    </w:p>
    <w:p w14:paraId="10640459" w14:textId="72C769B2"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D7196F">
        <w:rPr>
          <w:rFonts w:ascii="Myriad Pro" w:hAnsi="Myriad Pro"/>
          <w:sz w:val="22"/>
          <w:szCs w:val="22"/>
        </w:rPr>
        <w:t>5</w:t>
      </w:r>
    </w:p>
    <w:p w14:paraId="6807841A" w14:textId="0F280D74" w:rsidR="00111843" w:rsidRPr="00CE6EAA" w:rsidRDefault="00111843" w:rsidP="00111843">
      <w:pPr>
        <w:ind w:left="720"/>
        <w:rPr>
          <w:rFonts w:ascii="Myriad Pro" w:hAnsi="Myriad Pro"/>
          <w:sz w:val="22"/>
          <w:szCs w:val="22"/>
        </w:rPr>
      </w:pPr>
      <w:r w:rsidRPr="00CE6EAA">
        <w:rPr>
          <w:rFonts w:ascii="Myriad Pro" w:hAnsi="Myriad Pro"/>
          <w:sz w:val="22"/>
          <w:szCs w:val="22"/>
        </w:rPr>
        <w:t>Tables S1</w:t>
      </w:r>
      <w:r w:rsidR="00DD25D3">
        <w:rPr>
          <w:rFonts w:ascii="Myriad Pro" w:hAnsi="Myriad Pro"/>
          <w:sz w:val="22"/>
          <w:szCs w:val="22"/>
        </w:rPr>
        <w:t>to S3</w:t>
      </w:r>
      <w:r w:rsidR="00AA76F3">
        <w:rPr>
          <w:rFonts w:ascii="Myriad Pro" w:hAnsi="Myriad Pro"/>
          <w:sz w:val="22"/>
          <w:szCs w:val="22"/>
        </w:rPr>
        <w:t xml:space="preserve"> </w:t>
      </w:r>
    </w:p>
    <w:p w14:paraId="795CD27E" w14:textId="77777777" w:rsidR="00111843" w:rsidRDefault="00111843" w:rsidP="00FF3503">
      <w:pPr>
        <w:spacing w:before="100" w:beforeAutospacing="1" w:after="100" w:afterAutospacing="1"/>
        <w:rPr>
          <w:rFonts w:ascii="Myriad Pro" w:hAnsi="Myriad Pro"/>
          <w:b/>
          <w:bCs/>
          <w:szCs w:val="24"/>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1A518330" w14:textId="3448A304" w:rsidR="00D7196F" w:rsidRDefault="00D7196F" w:rsidP="00FF3503">
      <w:pPr>
        <w:spacing w:before="100" w:beforeAutospacing="1" w:after="100" w:afterAutospacing="1"/>
        <w:rPr>
          <w:rFonts w:ascii="Myriad Pro" w:hAnsi="Myriad Pro"/>
          <w:sz w:val="22"/>
          <w:szCs w:val="22"/>
        </w:rPr>
      </w:pPr>
      <w:r w:rsidRPr="00D7196F">
        <w:rPr>
          <w:rFonts w:ascii="Myriad Pro" w:hAnsi="Myriad Pro"/>
          <w:sz w:val="22"/>
          <w:szCs w:val="22"/>
        </w:rPr>
        <w:t xml:space="preserve">The supporting information provides additional </w:t>
      </w:r>
      <w:r>
        <w:rPr>
          <w:rFonts w:ascii="Myriad Pro" w:hAnsi="Myriad Pro"/>
          <w:sz w:val="22"/>
          <w:szCs w:val="22"/>
        </w:rPr>
        <w:t>description of the method</w:t>
      </w:r>
      <w:r w:rsidRPr="00D7196F">
        <w:rPr>
          <w:rFonts w:ascii="Myriad Pro" w:hAnsi="Myriad Pro"/>
          <w:sz w:val="22"/>
          <w:szCs w:val="22"/>
        </w:rPr>
        <w:t xml:space="preserve"> and </w:t>
      </w:r>
      <w:r>
        <w:rPr>
          <w:rFonts w:ascii="Myriad Pro" w:hAnsi="Myriad Pro"/>
          <w:sz w:val="22"/>
          <w:szCs w:val="22"/>
        </w:rPr>
        <w:t>evaluation for the performances of the hydrological and power system model</w:t>
      </w:r>
      <w:r w:rsidRPr="00D7196F">
        <w:rPr>
          <w:rFonts w:ascii="Myriad Pro" w:hAnsi="Myriad Pro"/>
          <w:sz w:val="22"/>
          <w:szCs w:val="22"/>
        </w:rPr>
        <w:t xml:space="preserve">. </w:t>
      </w:r>
      <w:r w:rsidR="00541B93">
        <w:rPr>
          <w:rFonts w:ascii="Myriad Pro" w:hAnsi="Myriad Pro"/>
          <w:sz w:val="22"/>
          <w:szCs w:val="22"/>
        </w:rPr>
        <w:t xml:space="preserve">The </w:t>
      </w:r>
      <w:r>
        <w:rPr>
          <w:rFonts w:ascii="Myriad Pro" w:hAnsi="Myriad Pro"/>
          <w:sz w:val="22"/>
          <w:szCs w:val="22"/>
        </w:rPr>
        <w:t xml:space="preserve">Text S1 presents </w:t>
      </w:r>
      <w:r w:rsidRPr="00D7196F">
        <w:rPr>
          <w:rFonts w:ascii="Myriad Pro" w:hAnsi="Myriad Pro"/>
          <w:sz w:val="22"/>
          <w:szCs w:val="22"/>
        </w:rPr>
        <w:t>Influence of RCP scenario selections on the results and evaluations of hydrological results</w:t>
      </w:r>
      <w:r>
        <w:rPr>
          <w:rFonts w:ascii="Myriad Pro" w:hAnsi="Myriad Pro"/>
          <w:sz w:val="22"/>
          <w:szCs w:val="22"/>
        </w:rPr>
        <w:t>. We add additional d</w:t>
      </w:r>
      <w:r w:rsidRPr="00D7196F">
        <w:rPr>
          <w:rFonts w:ascii="Myriad Pro" w:hAnsi="Myriad Pro"/>
          <w:sz w:val="22"/>
          <w:szCs w:val="22"/>
        </w:rPr>
        <w:t xml:space="preserve">escription of </w:t>
      </w:r>
      <w:proofErr w:type="spellStart"/>
      <w:r w:rsidRPr="00D7196F">
        <w:rPr>
          <w:rFonts w:ascii="Myriad Pro" w:hAnsi="Myriad Pro"/>
          <w:sz w:val="22"/>
          <w:szCs w:val="22"/>
        </w:rPr>
        <w:t>BeWhere</w:t>
      </w:r>
      <w:proofErr w:type="spellEnd"/>
      <w:r w:rsidRPr="00D7196F">
        <w:rPr>
          <w:rFonts w:ascii="Myriad Pro" w:hAnsi="Myriad Pro"/>
          <w:sz w:val="22"/>
          <w:szCs w:val="22"/>
        </w:rPr>
        <w:t xml:space="preserve"> model</w:t>
      </w:r>
      <w:r>
        <w:rPr>
          <w:rFonts w:ascii="Myriad Pro" w:hAnsi="Myriad Pro"/>
          <w:sz w:val="22"/>
          <w:szCs w:val="22"/>
        </w:rPr>
        <w:t xml:space="preserve"> in </w:t>
      </w:r>
      <w:r w:rsidR="00541B93">
        <w:rPr>
          <w:rFonts w:ascii="Myriad Pro" w:hAnsi="Myriad Pro"/>
          <w:sz w:val="22"/>
          <w:szCs w:val="22"/>
        </w:rPr>
        <w:t xml:space="preserve">the </w:t>
      </w:r>
      <w:r>
        <w:rPr>
          <w:rFonts w:ascii="Myriad Pro" w:hAnsi="Myriad Pro"/>
          <w:sz w:val="22"/>
          <w:szCs w:val="22"/>
        </w:rPr>
        <w:t xml:space="preserve">Text S2. </w:t>
      </w:r>
      <w:r w:rsidR="00541B93">
        <w:rPr>
          <w:rFonts w:ascii="Myriad Pro" w:hAnsi="Myriad Pro"/>
          <w:sz w:val="22"/>
          <w:szCs w:val="22"/>
        </w:rPr>
        <w:t xml:space="preserve">The </w:t>
      </w:r>
      <w:r>
        <w:rPr>
          <w:rFonts w:ascii="Myriad Pro" w:hAnsi="Myriad Pro"/>
          <w:sz w:val="22"/>
          <w:szCs w:val="22"/>
        </w:rPr>
        <w:t>T</w:t>
      </w:r>
      <w:r>
        <w:rPr>
          <w:rFonts w:ascii="Myriad Pro" w:hAnsi="Myriad Pro" w:hint="eastAsia"/>
          <w:sz w:val="22"/>
          <w:szCs w:val="22"/>
        </w:rPr>
        <w:t>ex</w:t>
      </w:r>
      <w:r>
        <w:rPr>
          <w:rFonts w:ascii="Myriad Pro" w:hAnsi="Myriad Pro"/>
          <w:sz w:val="22"/>
          <w:szCs w:val="22"/>
        </w:rPr>
        <w:t>t S3 presents e</w:t>
      </w:r>
      <w:r w:rsidRPr="00D7196F">
        <w:rPr>
          <w:rFonts w:ascii="Myriad Pro" w:hAnsi="Myriad Pro"/>
          <w:sz w:val="22"/>
          <w:szCs w:val="22"/>
        </w:rPr>
        <w:t xml:space="preserve">valuations of the </w:t>
      </w:r>
      <w:proofErr w:type="spellStart"/>
      <w:r w:rsidRPr="00D7196F">
        <w:rPr>
          <w:rFonts w:ascii="Myriad Pro" w:hAnsi="Myriad Pro"/>
          <w:sz w:val="22"/>
          <w:szCs w:val="22"/>
        </w:rPr>
        <w:t>BeWhere</w:t>
      </w:r>
      <w:proofErr w:type="spellEnd"/>
      <w:r w:rsidRPr="00D7196F">
        <w:rPr>
          <w:rFonts w:ascii="Myriad Pro" w:hAnsi="Myriad Pro"/>
          <w:sz w:val="22"/>
          <w:szCs w:val="22"/>
        </w:rPr>
        <w:t xml:space="preserve"> model results</w:t>
      </w:r>
      <w:r>
        <w:rPr>
          <w:rFonts w:ascii="Myriad Pro" w:hAnsi="Myriad Pro"/>
          <w:sz w:val="22"/>
          <w:szCs w:val="22"/>
        </w:rPr>
        <w:t>.</w:t>
      </w:r>
      <w:r w:rsidRPr="00D7196F">
        <w:rPr>
          <w:rFonts w:ascii="Myriad Pro" w:hAnsi="Myriad Pro"/>
          <w:sz w:val="22"/>
          <w:szCs w:val="22"/>
        </w:rPr>
        <w:t xml:space="preserve"> </w:t>
      </w:r>
      <w:r w:rsidR="00541B93">
        <w:rPr>
          <w:rFonts w:ascii="Myriad Pro" w:hAnsi="Myriad Pro"/>
          <w:sz w:val="22"/>
          <w:szCs w:val="22"/>
        </w:rPr>
        <w:t>T</w:t>
      </w:r>
      <w:r w:rsidR="00541B93">
        <w:rPr>
          <w:rFonts w:ascii="Myriad Pro" w:hAnsi="Myriad Pro" w:hint="eastAsia"/>
          <w:sz w:val="22"/>
          <w:szCs w:val="22"/>
        </w:rPr>
        <w:t>he</w:t>
      </w:r>
      <w:r w:rsidR="00541B93">
        <w:rPr>
          <w:rFonts w:ascii="Myriad Pro" w:hAnsi="Myriad Pro"/>
          <w:sz w:val="22"/>
          <w:szCs w:val="22"/>
        </w:rPr>
        <w:t xml:space="preserve"> </w:t>
      </w:r>
      <w:r w:rsidR="00541B93">
        <w:rPr>
          <w:rFonts w:ascii="Myriad Pro" w:hAnsi="Myriad Pro" w:hint="eastAsia"/>
          <w:sz w:val="22"/>
          <w:szCs w:val="22"/>
        </w:rPr>
        <w:t>s</w:t>
      </w:r>
      <w:r w:rsidRPr="00D7196F">
        <w:rPr>
          <w:rFonts w:ascii="Myriad Pro" w:hAnsi="Myriad Pro"/>
          <w:sz w:val="22"/>
          <w:szCs w:val="22"/>
        </w:rPr>
        <w:t>ensitivity of fossil fuel and transmission cost on potential hydropower production</w:t>
      </w:r>
      <w:r>
        <w:rPr>
          <w:rFonts w:ascii="Myriad Pro" w:hAnsi="Myriad Pro"/>
          <w:sz w:val="22"/>
          <w:szCs w:val="22"/>
        </w:rPr>
        <w:t xml:space="preserve"> is shown in </w:t>
      </w:r>
      <w:r w:rsidR="00541B93">
        <w:rPr>
          <w:rFonts w:ascii="Myriad Pro" w:hAnsi="Myriad Pro"/>
          <w:sz w:val="22"/>
          <w:szCs w:val="22"/>
        </w:rPr>
        <w:t xml:space="preserve">the </w:t>
      </w:r>
      <w:r>
        <w:rPr>
          <w:rFonts w:ascii="Myriad Pro" w:hAnsi="Myriad Pro"/>
          <w:sz w:val="22"/>
          <w:szCs w:val="22"/>
        </w:rPr>
        <w:t xml:space="preserve">Text S4. The </w:t>
      </w:r>
      <w:r w:rsidRPr="00D7196F">
        <w:rPr>
          <w:rFonts w:ascii="Myriad Pro" w:hAnsi="Myriad Pro"/>
          <w:sz w:val="22"/>
          <w:szCs w:val="22"/>
        </w:rPr>
        <w:t>Figure S</w:t>
      </w:r>
      <w:r>
        <w:rPr>
          <w:rFonts w:ascii="Myriad Pro" w:hAnsi="Myriad Pro"/>
          <w:sz w:val="22"/>
          <w:szCs w:val="22"/>
        </w:rPr>
        <w:t xml:space="preserve">1 presents the location of </w:t>
      </w:r>
      <w:r w:rsidRPr="00D7196F">
        <w:rPr>
          <w:rFonts w:ascii="Myriad Pro" w:hAnsi="Myriad Pro"/>
          <w:sz w:val="22"/>
          <w:szCs w:val="22"/>
        </w:rPr>
        <w:t>two hydrological stations (</w:t>
      </w:r>
      <w:proofErr w:type="spellStart"/>
      <w:r w:rsidRPr="00D7196F">
        <w:rPr>
          <w:rFonts w:ascii="Myriad Pro" w:hAnsi="Myriad Pro"/>
          <w:sz w:val="22"/>
          <w:szCs w:val="22"/>
        </w:rPr>
        <w:t>Lipat</w:t>
      </w:r>
      <w:proofErr w:type="spellEnd"/>
      <w:r w:rsidRPr="00D7196F">
        <w:rPr>
          <w:rFonts w:ascii="Myriad Pro" w:hAnsi="Myriad Pro"/>
          <w:sz w:val="22"/>
          <w:szCs w:val="22"/>
        </w:rPr>
        <w:t xml:space="preserve"> Kain and </w:t>
      </w:r>
      <w:proofErr w:type="spellStart"/>
      <w:r w:rsidRPr="00D7196F">
        <w:rPr>
          <w:rFonts w:ascii="Myriad Pro" w:hAnsi="Myriad Pro"/>
          <w:sz w:val="22"/>
          <w:szCs w:val="22"/>
        </w:rPr>
        <w:t>Kunyir</w:t>
      </w:r>
      <w:proofErr w:type="spellEnd"/>
      <w:r w:rsidRPr="00D7196F">
        <w:rPr>
          <w:rFonts w:ascii="Myriad Pro" w:hAnsi="Myriad Pro"/>
          <w:sz w:val="22"/>
          <w:szCs w:val="22"/>
        </w:rPr>
        <w:t>) in Sumatra mainland</w:t>
      </w:r>
      <w:r>
        <w:rPr>
          <w:rFonts w:ascii="Myriad Pro" w:hAnsi="Myriad Pro"/>
          <w:sz w:val="22"/>
          <w:szCs w:val="22"/>
        </w:rPr>
        <w:t>.</w:t>
      </w:r>
      <w:r w:rsidRPr="00D7196F">
        <w:rPr>
          <w:rFonts w:ascii="Myriad Pro" w:hAnsi="Myriad Pro"/>
          <w:sz w:val="22"/>
          <w:szCs w:val="22"/>
        </w:rPr>
        <w:t xml:space="preserve"> </w:t>
      </w:r>
      <w:r>
        <w:rPr>
          <w:rFonts w:ascii="Myriad Pro" w:hAnsi="Myriad Pro"/>
          <w:sz w:val="22"/>
          <w:szCs w:val="22"/>
        </w:rPr>
        <w:t xml:space="preserve">The </w:t>
      </w:r>
      <w:r w:rsidRPr="00D7196F">
        <w:rPr>
          <w:rFonts w:ascii="Myriad Pro" w:hAnsi="Myriad Pro"/>
          <w:sz w:val="22"/>
          <w:szCs w:val="22"/>
        </w:rPr>
        <w:t>Figure S</w:t>
      </w:r>
      <w:r>
        <w:rPr>
          <w:rFonts w:ascii="Myriad Pro" w:hAnsi="Myriad Pro"/>
          <w:sz w:val="22"/>
          <w:szCs w:val="22"/>
        </w:rPr>
        <w:t>2</w:t>
      </w:r>
      <w:r w:rsidRPr="00D7196F">
        <w:rPr>
          <w:rFonts w:ascii="Myriad Pro" w:hAnsi="Myriad Pro"/>
          <w:sz w:val="22"/>
          <w:szCs w:val="22"/>
        </w:rPr>
        <w:t xml:space="preserve"> and S</w:t>
      </w:r>
      <w:r>
        <w:rPr>
          <w:rFonts w:ascii="Myriad Pro" w:hAnsi="Myriad Pro"/>
          <w:sz w:val="22"/>
          <w:szCs w:val="22"/>
        </w:rPr>
        <w:t>3</w:t>
      </w:r>
      <w:r w:rsidRPr="00D7196F">
        <w:rPr>
          <w:rFonts w:ascii="Myriad Pro" w:hAnsi="Myriad Pro"/>
          <w:sz w:val="22"/>
          <w:szCs w:val="22"/>
        </w:rPr>
        <w:t xml:space="preserve"> show the </w:t>
      </w:r>
      <w:r>
        <w:rPr>
          <w:rFonts w:ascii="Myriad Pro" w:hAnsi="Myriad Pro"/>
          <w:sz w:val="22"/>
          <w:szCs w:val="22"/>
        </w:rPr>
        <w:t xml:space="preserve">hydrological </w:t>
      </w:r>
      <w:r w:rsidRPr="00D7196F">
        <w:rPr>
          <w:rFonts w:ascii="Myriad Pro" w:hAnsi="Myriad Pro"/>
          <w:sz w:val="22"/>
          <w:szCs w:val="22"/>
        </w:rPr>
        <w:t>model performance over</w:t>
      </w:r>
      <w:r>
        <w:rPr>
          <w:rFonts w:ascii="Myriad Pro" w:hAnsi="Myriad Pro"/>
          <w:sz w:val="22"/>
          <w:szCs w:val="22"/>
        </w:rPr>
        <w:t xml:space="preserve"> the Sumatra. The </w:t>
      </w:r>
      <w:r w:rsidRPr="00D7196F">
        <w:rPr>
          <w:rFonts w:ascii="Myriad Pro" w:hAnsi="Myriad Pro"/>
          <w:sz w:val="22"/>
          <w:szCs w:val="22"/>
        </w:rPr>
        <w:t>Figure S4</w:t>
      </w:r>
      <w:r>
        <w:rPr>
          <w:rFonts w:ascii="Myriad Pro" w:hAnsi="Myriad Pro"/>
          <w:sz w:val="22"/>
          <w:szCs w:val="22"/>
        </w:rPr>
        <w:t xml:space="preserve"> shows the l</w:t>
      </w:r>
      <w:r w:rsidRPr="00D7196F">
        <w:rPr>
          <w:rFonts w:ascii="Myriad Pro" w:hAnsi="Myriad Pro"/>
          <w:sz w:val="22"/>
          <w:szCs w:val="22"/>
        </w:rPr>
        <w:t>ocation of the existing dams in Sumatra</w:t>
      </w:r>
      <w:r>
        <w:rPr>
          <w:rFonts w:ascii="Myriad Pro" w:hAnsi="Myriad Pro"/>
          <w:sz w:val="22"/>
          <w:szCs w:val="22"/>
        </w:rPr>
        <w:t>, which was used to evaluate the performance or the power system model.</w:t>
      </w:r>
      <w:r w:rsidRPr="00541B93">
        <w:rPr>
          <w:rFonts w:ascii="Myriad Pro" w:hAnsi="Myriad Pro"/>
          <w:sz w:val="22"/>
          <w:szCs w:val="22"/>
        </w:rPr>
        <w:t xml:space="preserve"> </w:t>
      </w:r>
      <w:r w:rsidR="00541B93" w:rsidRPr="00541B93">
        <w:rPr>
          <w:rFonts w:ascii="Myriad Pro" w:hAnsi="Myriad Pro"/>
          <w:sz w:val="22"/>
          <w:szCs w:val="22"/>
        </w:rPr>
        <w:t xml:space="preserve">The </w:t>
      </w:r>
      <w:r w:rsidRPr="00D7196F">
        <w:rPr>
          <w:rFonts w:ascii="Myriad Pro" w:hAnsi="Myriad Pro"/>
          <w:sz w:val="22"/>
          <w:szCs w:val="22"/>
        </w:rPr>
        <w:t>Figure S5</w:t>
      </w:r>
      <w:r>
        <w:rPr>
          <w:rFonts w:ascii="Myriad Pro" w:hAnsi="Myriad Pro"/>
          <w:sz w:val="22"/>
          <w:szCs w:val="22"/>
        </w:rPr>
        <w:t xml:space="preserve"> presents the s</w:t>
      </w:r>
      <w:r w:rsidRPr="00D7196F">
        <w:rPr>
          <w:rFonts w:ascii="Myriad Pro" w:hAnsi="Myriad Pro"/>
          <w:sz w:val="22"/>
          <w:szCs w:val="22"/>
        </w:rPr>
        <w:t>ensitivity of fossil fuel on hydropower production</w:t>
      </w:r>
      <w:r>
        <w:rPr>
          <w:rFonts w:ascii="Myriad Pro" w:hAnsi="Myriad Pro"/>
          <w:sz w:val="22"/>
          <w:szCs w:val="22"/>
        </w:rPr>
        <w:t>. The Table S1 shows the c</w:t>
      </w:r>
      <w:r w:rsidRPr="00D7196F">
        <w:rPr>
          <w:rFonts w:ascii="Myriad Pro" w:hAnsi="Myriad Pro"/>
          <w:sz w:val="22"/>
          <w:szCs w:val="22"/>
        </w:rPr>
        <w:t xml:space="preserve">omparison </w:t>
      </w:r>
      <w:r>
        <w:rPr>
          <w:rFonts w:ascii="Myriad Pro" w:hAnsi="Myriad Pro"/>
          <w:sz w:val="22"/>
          <w:szCs w:val="22"/>
        </w:rPr>
        <w:t xml:space="preserve">results </w:t>
      </w:r>
      <w:r w:rsidRPr="00D7196F">
        <w:rPr>
          <w:rFonts w:ascii="Myriad Pro" w:hAnsi="Myriad Pro"/>
          <w:sz w:val="22"/>
          <w:szCs w:val="22"/>
        </w:rPr>
        <w:t>of capacities between existing hydropower plants and simulated results.</w:t>
      </w:r>
    </w:p>
    <w:p w14:paraId="667D8CA8" w14:textId="3E879508" w:rsidR="00015F74" w:rsidRPr="005314B5" w:rsidRDefault="00015F74" w:rsidP="00B9440A">
      <w:pPr>
        <w:pStyle w:val="SMHeading"/>
        <w:rPr>
          <w:rFonts w:ascii="Myriad Pro" w:hAnsi="Myriad Pro"/>
          <w:sz w:val="22"/>
          <w:szCs w:val="22"/>
        </w:rPr>
      </w:pPr>
      <w:bookmarkStart w:id="0" w:name="_Hlk29368991"/>
      <w:r w:rsidRPr="005314B5">
        <w:rPr>
          <w:rFonts w:ascii="Myriad Pro" w:hAnsi="Myriad Pro"/>
          <w:sz w:val="22"/>
          <w:szCs w:val="22"/>
        </w:rPr>
        <w:lastRenderedPageBreak/>
        <w:t>Text</w:t>
      </w:r>
      <w:r w:rsidR="00D60BB0">
        <w:rPr>
          <w:rFonts w:ascii="Myriad Pro" w:hAnsi="Myriad Pro"/>
          <w:sz w:val="22"/>
          <w:szCs w:val="22"/>
        </w:rPr>
        <w:t xml:space="preserve"> S1</w:t>
      </w:r>
    </w:p>
    <w:p w14:paraId="3BF5295A" w14:textId="77777777" w:rsidR="00893072" w:rsidRPr="00893072" w:rsidRDefault="00893072" w:rsidP="00893072">
      <w:pPr>
        <w:pStyle w:val="SMText"/>
        <w:ind w:firstLine="0"/>
        <w:rPr>
          <w:rFonts w:ascii="Myriad Pro" w:hAnsi="Myriad Pro"/>
          <w:color w:val="000000" w:themeColor="text1"/>
          <w:sz w:val="22"/>
          <w:szCs w:val="22"/>
        </w:rPr>
      </w:pPr>
      <w:bookmarkStart w:id="1" w:name="_Hlk21596808"/>
      <w:r w:rsidRPr="00893072">
        <w:rPr>
          <w:rFonts w:ascii="Myriad Pro" w:hAnsi="Myriad Pro"/>
          <w:color w:val="000000" w:themeColor="text1"/>
          <w:sz w:val="22"/>
          <w:szCs w:val="22"/>
        </w:rPr>
        <w:t xml:space="preserve">We used different representative concentration pathways (RCPs) and climate change scenarios to force the physically based hydrological modeling framework PCR-GLOBWB to quantify how global warming will affect hydropower potential in Sumatra. The uncertainties of PCR-GLOBWB, which are related to the parameters and meteorological forcing data, are discussed in detail by </w:t>
      </w:r>
      <w:r w:rsidRPr="00893072">
        <w:rPr>
          <w:rFonts w:ascii="Myriad Pro" w:hAnsi="Myriad Pro"/>
          <w:color w:val="000000" w:themeColor="text1"/>
          <w:sz w:val="22"/>
          <w:szCs w:val="22"/>
        </w:rPr>
        <w:fldChar w:fldCharType="begin" w:fldLock="1"/>
      </w:r>
      <w:r w:rsidRPr="00893072">
        <w:rPr>
          <w:rFonts w:ascii="Myriad Pro" w:hAnsi="Myriad Pro"/>
          <w:color w:val="000000" w:themeColor="text1"/>
          <w:sz w:val="22"/>
          <w:szCs w:val="22"/>
        </w:rPr>
        <w:instrText>ADDIN CSL_CITATION {"citationItems":[{"id":"ITEM-1","itemData":{"DOI":"10.1016/j.jhydrol.2015.08.061","ISBN":"0022-1694","ISSN":"00221694","abstract":"In the past decades significant progress has been made in the fitting of hydrologic models to data. Most of this work has focused on simple, CPU-efficient, lumped hydrologic models using discharge, water table depth, soil moisture, or tracer data from relatively small river basins. In this paper, we focus on large-scale hydrologic modeling and analyze the effect of parameter and rainfall data uncertainty on simulated discharge dynamics with the global hydrologic model PCR-GLOBWB. We use three rainfall data products; the CFSR reanalysis, the ERA-Interim reanalysis, and a combined ERA-40 reanalysis and CRU dataset. Parameter uncertainty is derived from Latin Hypercube Sampling (LHS) using monthly discharge data from five of the largest river systems in the world. Our results demonstrate that the default parameterization of PCR-GLOBWB, derived from global datasets, can be improved by calibrating the model against monthly discharge observations. Yet, it is difficult to find a single parameterization of PCR-GLOBWB that works well for all of the five river basins considered herein and shows consistent performance during both the calibration and evaluation period. Still there may be possibilities for regionalization based on catchment similarities. Our simulations illustrate that parameter uncertainty constitutes only a minor part of predictive uncertainty. Thus, the apparent dichotomy between simulations of global-scale hydrologic behavior and actual data cannot be resolved by simply increasing the model complexity of PCR-GLOBWB and resolving sub-grid processes. Instead, it would be more productive to improve the characterization of global rainfall amounts at spatial resolutions of 0.5° and smaller.","author":[{"dropping-particle":"","family":"Sperna Weiland","given":"Frederiek C.","non-dropping-particle":"","parse-names":false,"suffix":""},{"dropping-particle":"","family":"Vrugt","given":"Jasper A.","non-dropping-particle":"","parse-names":false,"suffix":""},{"dropping-particle":"","family":"Beek","given":"Rens L.P.H.","non-dropping-particle":"van","parse-names":false,"suffix":""},{"dropping-particle":"","family":"Weerts","given":"Albrecht H.","non-dropping-particle":"","parse-names":false,"suffix":""},{"dropping-particle":"","family":"Bierkens","given":"Marc F.P.","non-dropping-particle":"","parse-names":false,"suffix":""}],"container-title":"Journal of Hydrology","id":"ITEM-1","issued":{"date-parts":[["2015"]]},"page":"1095-1115","publisher":"Elsevier B.V.","title":"Significant uncertainty in global scale hydrological modeling from precipitation data errors","type":"article-journal","volume":"529"},"uris":["http://www.mendeley.com/documents/?uuid=236fb8f5-eb65-4bde-ae88-ffccfe79551f"]}],"mendeley":{"formattedCitation":"(Sperna Weiland et al., 2015)","manualFormatting":"Weiland et al.(2015","plainTextFormattedCitation":"(Sperna Weiland et al., 2015)","previouslyFormattedCitation":"(Sperna Weiland et al., 2015)"},"properties":{"noteIndex":0},"schema":"https://github.com/citation-style-language/schema/raw/master/csl-citation.json"}</w:instrText>
      </w:r>
      <w:r w:rsidRPr="00893072">
        <w:rPr>
          <w:rFonts w:ascii="Myriad Pro" w:hAnsi="Myriad Pro"/>
          <w:color w:val="000000" w:themeColor="text1"/>
          <w:sz w:val="22"/>
          <w:szCs w:val="22"/>
        </w:rPr>
        <w:fldChar w:fldCharType="separate"/>
      </w:r>
      <w:r w:rsidRPr="00893072">
        <w:rPr>
          <w:rFonts w:ascii="Myriad Pro" w:hAnsi="Myriad Pro"/>
          <w:noProof/>
          <w:color w:val="000000" w:themeColor="text1"/>
          <w:sz w:val="22"/>
          <w:szCs w:val="22"/>
        </w:rPr>
        <w:t>Weiland et al.(2015</w:t>
      </w:r>
      <w:r w:rsidRPr="00893072">
        <w:rPr>
          <w:rFonts w:ascii="Myriad Pro" w:hAnsi="Myriad Pro"/>
          <w:color w:val="000000" w:themeColor="text1"/>
          <w:sz w:val="22"/>
          <w:szCs w:val="22"/>
        </w:rPr>
        <w:fldChar w:fldCharType="end"/>
      </w:r>
      <w:r w:rsidRPr="00893072">
        <w:rPr>
          <w:rFonts w:ascii="Myriad Pro" w:hAnsi="Myriad Pro"/>
          <w:color w:val="000000" w:themeColor="text1"/>
          <w:sz w:val="22"/>
          <w:szCs w:val="22"/>
        </w:rPr>
        <w:t>). The study showed that the parameter uncertainty comprises a relatively minor part of the hydrograph. Instead, the resolution of meteorological forcing data must be improved. To reduce uncertainties from meteorological forcing data, outputs of four GCMs (HadGEM2-ES, MIROC5, IPSL-CM5A-LR and GFDL-ESM2M) for both RCP2.6 and RCP6.0 were used because a large number of GCM outputs better represent the uncertainties in climate models</w:t>
      </w:r>
      <w:r w:rsidRPr="00893072">
        <w:rPr>
          <w:rFonts w:ascii="Myriad Pro" w:hAnsi="Myriad Pro"/>
          <w:color w:val="000000" w:themeColor="text1"/>
          <w:sz w:val="22"/>
          <w:szCs w:val="22"/>
        </w:rPr>
        <w:fldChar w:fldCharType="begin" w:fldLock="1"/>
      </w:r>
      <w:r w:rsidRPr="00893072">
        <w:rPr>
          <w:rFonts w:ascii="Myriad Pro" w:hAnsi="Myriad Pro"/>
          <w:color w:val="000000" w:themeColor="text1"/>
          <w:sz w:val="22"/>
          <w:szCs w:val="22"/>
        </w:rPr>
        <w:instrText>ADDIN CSL_CITATION {"citationItems":[{"id":"ITEM-1","itemData":{"DOI":"10.1098/rsta.2007.2076","ISBN":"1364-503X","ISSN":"1364503X","PMID":"17569654","abstract":"Recent coordinated efforts, in which numerous climate models have been run for a common set of experiments, have produced large datasets of projections of future climate for various scenarios. Those multi-model ensembles sample initial condition, parameter as well as structural uncertainties in the model design, and they have prompted a variety of approaches to quantify uncertainty in future climate in a probabilistic way. This paper outlines the motivation for using multi-model ensembles, reviews the methodologies published so far and compares their results for regional temperature projections. The challenges in interpreting multi-model results, caused by the lack of verification of climate projections, the problem of model dependence, bias and tuning as well as the difficulty in making sense of an 'ensemble of opportunity', are discussed in detail.","author":[{"dropping-particle":"","family":"Tebaldi","given":"Claudia","non-dropping-particle":"","parse-names":false,"suffix":""},{"dropping-particle":"","family":"Knutti","given":"Reto","non-dropping-particle":"","parse-names":false,"suffix":""}],"container-title":"Philosophical Transactions of the Royal Society A: Mathematical, Physical and Engineering Sciences","id":"ITEM-1","issue":"1857","issued":{"date-parts":[["2007"]]},"page":"2053-2075","title":"The use of the multi-model ensemble in probabilistic climate projections","type":"article-journal","volume":"365"},"uris":["http://www.mendeley.com/documents/?uuid=0228a9a8-3e67-4005-a9d8-f566ced41885"]}],"mendeley":{"formattedCitation":"(Tebaldi &amp; Knutti, 2007)","plainTextFormattedCitation":"(Tebaldi &amp; Knutti, 2007)","previouslyFormattedCitation":"(Tebaldi &amp; Knutti, 2007)"},"properties":{"noteIndex":0},"schema":"https://github.com/citation-style-language/schema/raw/master/csl-citation.json"}</w:instrText>
      </w:r>
      <w:r w:rsidRPr="00893072">
        <w:rPr>
          <w:rFonts w:ascii="Myriad Pro" w:hAnsi="Myriad Pro"/>
          <w:color w:val="000000" w:themeColor="text1"/>
          <w:sz w:val="22"/>
          <w:szCs w:val="22"/>
        </w:rPr>
        <w:fldChar w:fldCharType="separate"/>
      </w:r>
      <w:r w:rsidRPr="00893072">
        <w:rPr>
          <w:rFonts w:ascii="Myriad Pro" w:hAnsi="Myriad Pro"/>
          <w:noProof/>
          <w:color w:val="000000" w:themeColor="text1"/>
          <w:sz w:val="22"/>
          <w:szCs w:val="22"/>
        </w:rPr>
        <w:t>(Tebaldi &amp; Knutti, 2007)</w:t>
      </w:r>
      <w:r w:rsidRPr="00893072">
        <w:rPr>
          <w:rFonts w:ascii="Myriad Pro" w:hAnsi="Myriad Pro"/>
          <w:color w:val="000000" w:themeColor="text1"/>
          <w:sz w:val="22"/>
          <w:szCs w:val="22"/>
        </w:rPr>
        <w:fldChar w:fldCharType="end"/>
      </w:r>
      <w:r w:rsidRPr="00893072">
        <w:rPr>
          <w:rFonts w:ascii="Myriad Pro" w:hAnsi="Myriad Pro"/>
          <w:color w:val="000000" w:themeColor="text1"/>
          <w:sz w:val="22"/>
          <w:szCs w:val="22"/>
        </w:rPr>
        <w:t>.</w:t>
      </w:r>
    </w:p>
    <w:p w14:paraId="47403EE8" w14:textId="77777777" w:rsidR="00893072" w:rsidRPr="00893072" w:rsidRDefault="00893072" w:rsidP="00893072">
      <w:pPr>
        <w:pStyle w:val="SMText"/>
        <w:ind w:firstLine="0"/>
        <w:rPr>
          <w:rFonts w:ascii="Myriad Pro" w:hAnsi="Myriad Pro"/>
          <w:color w:val="000000" w:themeColor="text1"/>
          <w:sz w:val="22"/>
          <w:szCs w:val="22"/>
        </w:rPr>
      </w:pPr>
      <w:r w:rsidRPr="00893072">
        <w:rPr>
          <w:rFonts w:ascii="Myriad Pro" w:hAnsi="Myriad Pro"/>
          <w:color w:val="000000" w:themeColor="text1"/>
          <w:sz w:val="22"/>
          <w:szCs w:val="22"/>
        </w:rPr>
        <w:t>We closely examined the hydrographs based on simulation results from PCR-GLOBWB and observation data from the Global Runoff Data Center (GRDC), which are representative of the dispersion between hydrological model performances and observation data. This procedure was performed for two different hydrological stations (</w:t>
      </w:r>
      <w:proofErr w:type="spellStart"/>
      <w:r w:rsidRPr="00893072">
        <w:rPr>
          <w:rFonts w:ascii="Myriad Pro" w:hAnsi="Myriad Pro"/>
          <w:color w:val="000000" w:themeColor="text1"/>
          <w:sz w:val="22"/>
          <w:szCs w:val="22"/>
        </w:rPr>
        <w:t>Lipat</w:t>
      </w:r>
      <w:proofErr w:type="spellEnd"/>
      <w:r w:rsidRPr="00893072">
        <w:rPr>
          <w:rFonts w:ascii="Myriad Pro" w:hAnsi="Myriad Pro"/>
          <w:color w:val="000000" w:themeColor="text1"/>
          <w:sz w:val="22"/>
          <w:szCs w:val="22"/>
        </w:rPr>
        <w:t xml:space="preserve"> Kain and </w:t>
      </w:r>
      <w:proofErr w:type="spellStart"/>
      <w:r w:rsidRPr="00893072">
        <w:rPr>
          <w:rFonts w:ascii="Myriad Pro" w:hAnsi="Myriad Pro"/>
          <w:color w:val="000000" w:themeColor="text1"/>
          <w:sz w:val="22"/>
          <w:szCs w:val="22"/>
        </w:rPr>
        <w:t>Kunyir</w:t>
      </w:r>
      <w:proofErr w:type="spellEnd"/>
      <w:r w:rsidRPr="00893072">
        <w:rPr>
          <w:rFonts w:ascii="Myriad Pro" w:hAnsi="Myriad Pro"/>
          <w:color w:val="000000" w:themeColor="text1"/>
          <w:sz w:val="22"/>
          <w:szCs w:val="22"/>
        </w:rPr>
        <w:t xml:space="preserve">) in Sumatra (Figure S1), which featured discharge in different locations of Sumatra. Figure S2 displays the multiyear observed and simulated monthly discharges at the </w:t>
      </w:r>
      <w:proofErr w:type="spellStart"/>
      <w:r w:rsidRPr="00893072">
        <w:rPr>
          <w:rFonts w:ascii="Myriad Pro" w:hAnsi="Myriad Pro"/>
          <w:color w:val="000000" w:themeColor="text1"/>
          <w:sz w:val="22"/>
          <w:szCs w:val="22"/>
        </w:rPr>
        <w:t>Lipat</w:t>
      </w:r>
      <w:proofErr w:type="spellEnd"/>
      <w:r w:rsidRPr="00893072">
        <w:rPr>
          <w:rFonts w:ascii="Myriad Pro" w:hAnsi="Myriad Pro"/>
          <w:color w:val="000000" w:themeColor="text1"/>
          <w:sz w:val="22"/>
          <w:szCs w:val="22"/>
        </w:rPr>
        <w:t xml:space="preserve"> Kain and </w:t>
      </w:r>
      <w:proofErr w:type="spellStart"/>
      <w:r w:rsidRPr="00893072">
        <w:rPr>
          <w:rFonts w:ascii="Myriad Pro" w:hAnsi="Myriad Pro"/>
          <w:color w:val="000000" w:themeColor="text1"/>
          <w:sz w:val="22"/>
          <w:szCs w:val="22"/>
        </w:rPr>
        <w:t>Kunyir</w:t>
      </w:r>
      <w:proofErr w:type="spellEnd"/>
      <w:r w:rsidRPr="00893072">
        <w:rPr>
          <w:rFonts w:ascii="Myriad Pro" w:hAnsi="Myriad Pro"/>
          <w:color w:val="000000" w:themeColor="text1"/>
          <w:sz w:val="22"/>
          <w:szCs w:val="22"/>
        </w:rPr>
        <w:t xml:space="preserve"> stations. The trend of observed and simulated discharges is consistent, but the observed discharges are higher than the simulated discharges for peak times in several periods, </w:t>
      </w:r>
      <w:proofErr w:type="gramStart"/>
      <w:r w:rsidRPr="00893072">
        <w:rPr>
          <w:rFonts w:ascii="Myriad Pro" w:hAnsi="Myriad Pro"/>
          <w:color w:val="000000" w:themeColor="text1"/>
          <w:sz w:val="22"/>
          <w:szCs w:val="22"/>
        </w:rPr>
        <w:t>with the exception of</w:t>
      </w:r>
      <w:proofErr w:type="gramEnd"/>
      <w:r w:rsidRPr="00893072">
        <w:rPr>
          <w:rFonts w:ascii="Myriad Pro" w:hAnsi="Myriad Pro"/>
          <w:color w:val="000000" w:themeColor="text1"/>
          <w:sz w:val="22"/>
          <w:szCs w:val="22"/>
        </w:rPr>
        <w:t xml:space="preserve"> periods when observed data are missing. The correlation coefficients at </w:t>
      </w:r>
      <w:proofErr w:type="spellStart"/>
      <w:r w:rsidRPr="00893072">
        <w:rPr>
          <w:rFonts w:ascii="Myriad Pro" w:hAnsi="Myriad Pro"/>
          <w:color w:val="000000" w:themeColor="text1"/>
          <w:sz w:val="22"/>
          <w:szCs w:val="22"/>
        </w:rPr>
        <w:t>Lipat</w:t>
      </w:r>
      <w:proofErr w:type="spellEnd"/>
      <w:r w:rsidRPr="00893072">
        <w:rPr>
          <w:rFonts w:ascii="Myriad Pro" w:hAnsi="Myriad Pro"/>
          <w:color w:val="000000" w:themeColor="text1"/>
          <w:sz w:val="22"/>
          <w:szCs w:val="22"/>
        </w:rPr>
        <w:t xml:space="preserve"> Kain and </w:t>
      </w:r>
      <w:proofErr w:type="spellStart"/>
      <w:r w:rsidRPr="00893072">
        <w:rPr>
          <w:rFonts w:ascii="Myriad Pro" w:hAnsi="Myriad Pro"/>
          <w:color w:val="000000" w:themeColor="text1"/>
          <w:sz w:val="22"/>
          <w:szCs w:val="22"/>
        </w:rPr>
        <w:t>Kunyir</w:t>
      </w:r>
      <w:proofErr w:type="spellEnd"/>
      <w:r w:rsidRPr="00893072">
        <w:rPr>
          <w:rFonts w:ascii="Myriad Pro" w:hAnsi="Myriad Pro"/>
          <w:color w:val="000000" w:themeColor="text1"/>
          <w:sz w:val="22"/>
          <w:szCs w:val="22"/>
        </w:rPr>
        <w:t xml:space="preserve"> are 0.92 and 0.94, respectively (more validated metrics are provided in Table S1). Figure S3 presents the streamflow variability during the dry and wet seasons in Sumatra. The PCR-GLOBWB performs well for low flows in the dry and rainy seasons but it will underestimate the high flow significantly in the wet season at the </w:t>
      </w:r>
      <w:proofErr w:type="spellStart"/>
      <w:r w:rsidRPr="00893072">
        <w:rPr>
          <w:rFonts w:ascii="Myriad Pro" w:hAnsi="Myriad Pro"/>
          <w:color w:val="000000" w:themeColor="text1"/>
          <w:sz w:val="22"/>
          <w:szCs w:val="22"/>
        </w:rPr>
        <w:t>Lipat</w:t>
      </w:r>
      <w:proofErr w:type="spellEnd"/>
      <w:r w:rsidRPr="00893072">
        <w:rPr>
          <w:rFonts w:ascii="Myriad Pro" w:hAnsi="Myriad Pro"/>
          <w:color w:val="000000" w:themeColor="text1"/>
          <w:sz w:val="22"/>
          <w:szCs w:val="22"/>
        </w:rPr>
        <w:t xml:space="preserve"> Kain station. The simulated results could capture the trend of the discharge change.</w:t>
      </w:r>
    </w:p>
    <w:bookmarkEnd w:id="1"/>
    <w:p w14:paraId="3B96FC8A" w14:textId="289C0219" w:rsidR="003E1980" w:rsidRPr="005314B5" w:rsidRDefault="00CB6233" w:rsidP="00CB6233">
      <w:pPr>
        <w:pStyle w:val="SMcaption"/>
        <w:jc w:val="center"/>
        <w:rPr>
          <w:rFonts w:ascii="Myriad Pro" w:hAnsi="Myriad Pro"/>
          <w:sz w:val="22"/>
          <w:szCs w:val="22"/>
        </w:rPr>
      </w:pPr>
      <w:r>
        <w:rPr>
          <w:noProof/>
          <w:lang w:eastAsia="zh-CN"/>
        </w:rPr>
        <w:drawing>
          <wp:inline distT="0" distB="0" distL="0" distR="0" wp14:anchorId="108F84A1" wp14:editId="18400395">
            <wp:extent cx="3468184" cy="3387080"/>
            <wp:effectExtent l="0" t="0" r="0" b="4445"/>
            <wp:docPr id="7" name="图片 7"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DC STATION_NAME.png"/>
                    <pic:cNvPicPr/>
                  </pic:nvPicPr>
                  <pic:blipFill>
                    <a:blip r:embed="rId9"/>
                    <a:stretch>
                      <a:fillRect/>
                    </a:stretch>
                  </pic:blipFill>
                  <pic:spPr>
                    <a:xfrm>
                      <a:off x="0" y="0"/>
                      <a:ext cx="3488625" cy="3407043"/>
                    </a:xfrm>
                    <a:prstGeom prst="rect">
                      <a:avLst/>
                    </a:prstGeom>
                  </pic:spPr>
                </pic:pic>
              </a:graphicData>
            </a:graphic>
          </wp:inline>
        </w:drawing>
      </w:r>
    </w:p>
    <w:p w14:paraId="44D59D53" w14:textId="1804CA02" w:rsidR="00CB6233" w:rsidRDefault="00227D86" w:rsidP="003E1980">
      <w:pPr>
        <w:pStyle w:val="SMHeading"/>
        <w:rPr>
          <w:rFonts w:ascii="Myriad Pro" w:hAnsi="Myriad Pro"/>
          <w:b w:val="0"/>
          <w:sz w:val="22"/>
          <w:szCs w:val="22"/>
        </w:rPr>
      </w:pPr>
      <w:bookmarkStart w:id="2" w:name="_Hlk22026409"/>
      <w:r w:rsidRPr="005314B5">
        <w:rPr>
          <w:rFonts w:ascii="Myriad Pro" w:hAnsi="Myriad Pro"/>
          <w:sz w:val="22"/>
          <w:szCs w:val="22"/>
        </w:rPr>
        <w:t>Figure S1</w:t>
      </w:r>
      <w:r w:rsidR="003E1980" w:rsidRPr="005314B5">
        <w:rPr>
          <w:rFonts w:ascii="Myriad Pro" w:hAnsi="Myriad Pro"/>
          <w:sz w:val="22"/>
          <w:szCs w:val="22"/>
        </w:rPr>
        <w:t xml:space="preserve">. </w:t>
      </w:r>
      <w:r w:rsidR="00CB6233" w:rsidRPr="00CB6233">
        <w:rPr>
          <w:rFonts w:ascii="Myriad Pro" w:hAnsi="Myriad Pro"/>
          <w:b w:val="0"/>
          <w:sz w:val="22"/>
          <w:szCs w:val="22"/>
        </w:rPr>
        <w:t>Locations of two hydrological stations (</w:t>
      </w:r>
      <w:proofErr w:type="spellStart"/>
      <w:r w:rsidR="00CB6233" w:rsidRPr="00CB6233">
        <w:rPr>
          <w:rFonts w:ascii="Myriad Pro" w:hAnsi="Myriad Pro"/>
          <w:b w:val="0"/>
          <w:sz w:val="22"/>
          <w:szCs w:val="22"/>
        </w:rPr>
        <w:t>Lipat</w:t>
      </w:r>
      <w:proofErr w:type="spellEnd"/>
      <w:r w:rsidR="00CB6233" w:rsidRPr="00CB6233">
        <w:rPr>
          <w:rFonts w:ascii="Myriad Pro" w:hAnsi="Myriad Pro"/>
          <w:b w:val="0"/>
          <w:sz w:val="22"/>
          <w:szCs w:val="22"/>
        </w:rPr>
        <w:t xml:space="preserve"> Kain and </w:t>
      </w:r>
      <w:proofErr w:type="spellStart"/>
      <w:r w:rsidR="00CB6233" w:rsidRPr="00CB6233">
        <w:rPr>
          <w:rFonts w:ascii="Myriad Pro" w:hAnsi="Myriad Pro"/>
          <w:b w:val="0"/>
          <w:sz w:val="22"/>
          <w:szCs w:val="22"/>
        </w:rPr>
        <w:t>Kunyir</w:t>
      </w:r>
      <w:proofErr w:type="spellEnd"/>
      <w:r w:rsidR="00CB6233" w:rsidRPr="00CB6233">
        <w:rPr>
          <w:rFonts w:ascii="Myriad Pro" w:hAnsi="Myriad Pro"/>
          <w:b w:val="0"/>
          <w:sz w:val="22"/>
          <w:szCs w:val="22"/>
        </w:rPr>
        <w:t>) in Sumatra mainland</w:t>
      </w:r>
      <w:r w:rsidR="00112C5B" w:rsidRPr="005314B5">
        <w:rPr>
          <w:rFonts w:ascii="Myriad Pro" w:hAnsi="Myriad Pro"/>
          <w:b w:val="0"/>
          <w:sz w:val="22"/>
          <w:szCs w:val="22"/>
        </w:rPr>
        <w:t>.</w:t>
      </w:r>
      <w:bookmarkEnd w:id="2"/>
      <w:r w:rsidR="00112C5B" w:rsidRPr="005314B5">
        <w:rPr>
          <w:rFonts w:ascii="Myriad Pro" w:hAnsi="Myriad Pro"/>
          <w:b w:val="0"/>
          <w:sz w:val="22"/>
          <w:szCs w:val="22"/>
        </w:rPr>
        <w:t xml:space="preserve"> </w:t>
      </w:r>
    </w:p>
    <w:p w14:paraId="0AC670AB" w14:textId="77777777" w:rsidR="00CB6233" w:rsidRPr="00CB6233" w:rsidRDefault="00CB6233" w:rsidP="00CB6233">
      <w:pPr>
        <w:pStyle w:val="SMText"/>
        <w:ind w:firstLine="0"/>
        <w:rPr>
          <w:rFonts w:ascii="Myriad Pro" w:hAnsi="Myriad Pro"/>
          <w:sz w:val="22"/>
          <w:szCs w:val="22"/>
        </w:rPr>
      </w:pPr>
    </w:p>
    <w:p w14:paraId="75F6E8FA" w14:textId="77777777" w:rsidR="0089082D" w:rsidRDefault="00CB6233" w:rsidP="00476ED4">
      <w:pPr>
        <w:pStyle w:val="SMcaption"/>
        <w:jc w:val="center"/>
        <w:rPr>
          <w:rFonts w:ascii="Myriad Pro" w:hAnsi="Myriad Pro"/>
          <w:sz w:val="22"/>
          <w:szCs w:val="22"/>
        </w:rPr>
      </w:pPr>
      <w:r>
        <w:rPr>
          <w:noProof/>
          <w:lang w:eastAsia="zh-CN"/>
        </w:rPr>
        <w:lastRenderedPageBreak/>
        <w:drawing>
          <wp:inline distT="0" distB="0" distL="0" distR="0" wp14:anchorId="0D0F2696" wp14:editId="6437A673">
            <wp:extent cx="4684143" cy="1827129"/>
            <wp:effectExtent l="0" t="0" r="2540" b="1905"/>
            <wp:docPr id="3" name="图片 3"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o station streamflo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7584" cy="1836272"/>
                    </a:xfrm>
                    <a:prstGeom prst="rect">
                      <a:avLst/>
                    </a:prstGeom>
                  </pic:spPr>
                </pic:pic>
              </a:graphicData>
            </a:graphic>
          </wp:inline>
        </w:drawing>
      </w:r>
    </w:p>
    <w:p w14:paraId="4F521703" w14:textId="5AB89347" w:rsidR="00DD25D3" w:rsidRDefault="00CB6233" w:rsidP="00893072">
      <w:pPr>
        <w:pStyle w:val="SMcaption"/>
        <w:rPr>
          <w:rFonts w:ascii="Myriad Pro" w:hAnsi="Myriad Pro"/>
          <w:sz w:val="22"/>
          <w:szCs w:val="22"/>
        </w:rPr>
      </w:pPr>
      <w:r w:rsidRPr="00476ED4">
        <w:rPr>
          <w:rFonts w:ascii="Myriad Pro" w:hAnsi="Myriad Pro"/>
          <w:b/>
          <w:bCs/>
          <w:sz w:val="22"/>
          <w:szCs w:val="22"/>
        </w:rPr>
        <w:t>Figure S2</w:t>
      </w:r>
      <w:r w:rsidRPr="005314B5">
        <w:rPr>
          <w:rFonts w:ascii="Myriad Pro" w:hAnsi="Myriad Pro"/>
          <w:sz w:val="22"/>
          <w:szCs w:val="22"/>
        </w:rPr>
        <w:t xml:space="preserve">. </w:t>
      </w:r>
      <w:r w:rsidR="00893072" w:rsidRPr="00893072">
        <w:rPr>
          <w:rFonts w:ascii="Myriad Pro" w:hAnsi="Myriad Pro"/>
          <w:sz w:val="22"/>
          <w:szCs w:val="22"/>
        </w:rPr>
        <w:t xml:space="preserve">Multiyear observation and simulation by PCR-GLOBWB discharges, for a. the </w:t>
      </w:r>
      <w:proofErr w:type="spellStart"/>
      <w:r w:rsidR="00893072" w:rsidRPr="00893072">
        <w:rPr>
          <w:rFonts w:ascii="Myriad Pro" w:hAnsi="Myriad Pro"/>
          <w:sz w:val="22"/>
          <w:szCs w:val="22"/>
        </w:rPr>
        <w:t>Lipat</w:t>
      </w:r>
      <w:proofErr w:type="spellEnd"/>
      <w:r w:rsidR="00893072" w:rsidRPr="00893072">
        <w:rPr>
          <w:rFonts w:ascii="Myriad Pro" w:hAnsi="Myriad Pro"/>
          <w:sz w:val="22"/>
          <w:szCs w:val="22"/>
        </w:rPr>
        <w:t xml:space="preserve"> Kain station and b. the </w:t>
      </w:r>
      <w:proofErr w:type="spellStart"/>
      <w:r w:rsidR="00893072" w:rsidRPr="00893072">
        <w:rPr>
          <w:rFonts w:ascii="Myriad Pro" w:hAnsi="Myriad Pro"/>
          <w:sz w:val="22"/>
          <w:szCs w:val="22"/>
        </w:rPr>
        <w:t>Kunyir</w:t>
      </w:r>
      <w:proofErr w:type="spellEnd"/>
      <w:r w:rsidR="00893072" w:rsidRPr="00893072">
        <w:rPr>
          <w:rFonts w:ascii="Myriad Pro" w:hAnsi="Myriad Pro"/>
          <w:sz w:val="22"/>
          <w:szCs w:val="22"/>
        </w:rPr>
        <w:t xml:space="preserve"> station</w:t>
      </w:r>
    </w:p>
    <w:p w14:paraId="3FA00C8F" w14:textId="16A94C6E" w:rsidR="00CB6233" w:rsidRDefault="00893072" w:rsidP="00893072">
      <w:pPr>
        <w:pStyle w:val="SMcaption"/>
        <w:jc w:val="center"/>
        <w:rPr>
          <w:noProof/>
          <w:lang w:eastAsia="zh-CN"/>
        </w:rPr>
      </w:pPr>
      <w:r>
        <w:rPr>
          <w:rFonts w:hint="eastAsia"/>
          <w:noProof/>
          <w:szCs w:val="24"/>
        </w:rPr>
        <w:drawing>
          <wp:inline distT="0" distB="0" distL="0" distR="0" wp14:anchorId="27952464" wp14:editId="6878DAB8">
            <wp:extent cx="3856008" cy="5254706"/>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8485" cy="5285336"/>
                    </a:xfrm>
                    <a:prstGeom prst="rect">
                      <a:avLst/>
                    </a:prstGeom>
                    <a:noFill/>
                    <a:ln>
                      <a:noFill/>
                    </a:ln>
                  </pic:spPr>
                </pic:pic>
              </a:graphicData>
            </a:graphic>
          </wp:inline>
        </w:drawing>
      </w:r>
    </w:p>
    <w:p w14:paraId="40EDF3D1" w14:textId="521864EF" w:rsidR="00DD25D3" w:rsidRDefault="005E5A95" w:rsidP="00CB6233">
      <w:pPr>
        <w:pStyle w:val="SMHeading"/>
        <w:rPr>
          <w:rFonts w:ascii="Myriad Pro" w:hAnsi="Myriad Pro"/>
          <w:b w:val="0"/>
          <w:sz w:val="22"/>
          <w:szCs w:val="22"/>
        </w:rPr>
      </w:pPr>
      <w:r w:rsidRPr="005E5A95">
        <w:rPr>
          <w:rFonts w:ascii="Myriad Pro" w:hAnsi="Myriad Pro"/>
          <w:sz w:val="22"/>
          <w:szCs w:val="22"/>
        </w:rPr>
        <w:t>Figure S3.</w:t>
      </w:r>
      <w:r w:rsidRPr="00893072">
        <w:rPr>
          <w:rFonts w:ascii="Myriad Pro" w:hAnsi="Myriad Pro"/>
          <w:b w:val="0"/>
          <w:bCs w:val="0"/>
          <w:color w:val="000000" w:themeColor="text1"/>
          <w:sz w:val="22"/>
          <w:szCs w:val="22"/>
        </w:rPr>
        <w:t xml:space="preserve"> </w:t>
      </w:r>
      <w:r w:rsidR="00893072" w:rsidRPr="00893072">
        <w:rPr>
          <w:rFonts w:ascii="Myriad Pro" w:hAnsi="Myriad Pro"/>
          <w:b w:val="0"/>
          <w:bCs w:val="0"/>
          <w:color w:val="000000" w:themeColor="text1"/>
          <w:sz w:val="22"/>
          <w:szCs w:val="22"/>
        </w:rPr>
        <w:t xml:space="preserve">Streamflow variability during the dry season, wet season and annual bias, for the </w:t>
      </w:r>
      <w:proofErr w:type="spellStart"/>
      <w:r w:rsidR="00893072" w:rsidRPr="00893072">
        <w:rPr>
          <w:rFonts w:ascii="Myriad Pro" w:hAnsi="Myriad Pro"/>
          <w:b w:val="0"/>
          <w:bCs w:val="0"/>
          <w:color w:val="000000" w:themeColor="text1"/>
          <w:sz w:val="22"/>
          <w:szCs w:val="22"/>
        </w:rPr>
        <w:t>Lipat</w:t>
      </w:r>
      <w:proofErr w:type="spellEnd"/>
      <w:r w:rsidR="00893072" w:rsidRPr="00893072">
        <w:rPr>
          <w:rFonts w:ascii="Myriad Pro" w:hAnsi="Myriad Pro"/>
          <w:b w:val="0"/>
          <w:bCs w:val="0"/>
          <w:color w:val="000000" w:themeColor="text1"/>
          <w:sz w:val="22"/>
          <w:szCs w:val="22"/>
        </w:rPr>
        <w:t xml:space="preserve"> Kain station (a., c. and e.) and the </w:t>
      </w:r>
      <w:proofErr w:type="spellStart"/>
      <w:r w:rsidR="00893072" w:rsidRPr="00893072">
        <w:rPr>
          <w:rFonts w:ascii="Myriad Pro" w:hAnsi="Myriad Pro"/>
          <w:b w:val="0"/>
          <w:bCs w:val="0"/>
          <w:color w:val="000000" w:themeColor="text1"/>
          <w:sz w:val="22"/>
          <w:szCs w:val="22"/>
        </w:rPr>
        <w:t>Kunyir</w:t>
      </w:r>
      <w:proofErr w:type="spellEnd"/>
      <w:r w:rsidR="00893072" w:rsidRPr="00893072">
        <w:rPr>
          <w:rFonts w:ascii="Myriad Pro" w:hAnsi="Myriad Pro"/>
          <w:b w:val="0"/>
          <w:bCs w:val="0"/>
          <w:color w:val="000000" w:themeColor="text1"/>
          <w:sz w:val="22"/>
          <w:szCs w:val="22"/>
        </w:rPr>
        <w:t xml:space="preserve"> station (b., d., and f.)</w:t>
      </w:r>
    </w:p>
    <w:p w14:paraId="6621E481" w14:textId="77777777" w:rsidR="00DD25D3" w:rsidRDefault="00DD25D3" w:rsidP="00893072"/>
    <w:p w14:paraId="3AB995D5" w14:textId="3AE02955" w:rsidR="00DD25D3" w:rsidRPr="00893072" w:rsidRDefault="00DD25D3" w:rsidP="00893072">
      <w:pPr>
        <w:pStyle w:val="SMHeading"/>
        <w:rPr>
          <w:rFonts w:ascii="Myriad Pro" w:hAnsi="Myriad Pro"/>
          <w:b w:val="0"/>
          <w:bCs w:val="0"/>
          <w:color w:val="000000" w:themeColor="text1"/>
          <w:sz w:val="22"/>
          <w:szCs w:val="22"/>
        </w:rPr>
      </w:pPr>
      <w:r w:rsidRPr="00893072">
        <w:rPr>
          <w:rFonts w:ascii="Myriad Pro" w:hAnsi="Myriad Pro"/>
          <w:sz w:val="22"/>
          <w:szCs w:val="22"/>
        </w:rPr>
        <w:lastRenderedPageBreak/>
        <w:t xml:space="preserve">Table </w:t>
      </w:r>
      <w:r>
        <w:rPr>
          <w:rFonts w:ascii="Myriad Pro" w:hAnsi="Myriad Pro"/>
          <w:sz w:val="22"/>
          <w:szCs w:val="22"/>
        </w:rPr>
        <w:t>S1</w:t>
      </w:r>
      <w:r w:rsidRPr="00893072">
        <w:rPr>
          <w:rFonts w:ascii="Myriad Pro" w:hAnsi="Myriad Pro"/>
          <w:sz w:val="22"/>
          <w:szCs w:val="22"/>
        </w:rPr>
        <w:t xml:space="preserve">. </w:t>
      </w:r>
      <w:r w:rsidR="00893072" w:rsidRPr="00893072">
        <w:rPr>
          <w:rFonts w:ascii="Myriad Pro" w:hAnsi="Myriad Pro"/>
          <w:b w:val="0"/>
          <w:bCs w:val="0"/>
          <w:color w:val="000000" w:themeColor="text1"/>
          <w:sz w:val="22"/>
          <w:szCs w:val="22"/>
        </w:rPr>
        <w:t>Evaluation of the hydrological model during the historical period using observed discharge.</w:t>
      </w:r>
    </w:p>
    <w:tbl>
      <w:tblPr>
        <w:tblStyle w:val="12"/>
        <w:tblW w:w="555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456"/>
        <w:gridCol w:w="1245"/>
        <w:gridCol w:w="1245"/>
        <w:gridCol w:w="1253"/>
        <w:gridCol w:w="1351"/>
        <w:gridCol w:w="1421"/>
        <w:gridCol w:w="1419"/>
      </w:tblGrid>
      <w:tr w:rsidR="00893072" w:rsidRPr="00893072" w14:paraId="2A36CD72" w14:textId="77777777" w:rsidTr="00EC408F">
        <w:trPr>
          <w:cantSplit/>
          <w:tblHeader/>
          <w:jc w:val="center"/>
        </w:trPr>
        <w:tc>
          <w:tcPr>
            <w:tcW w:w="1182" w:type="pct"/>
            <w:vMerge w:val="restart"/>
            <w:tcBorders>
              <w:top w:val="single" w:sz="8" w:space="0" w:color="auto"/>
            </w:tcBorders>
            <w:vAlign w:val="center"/>
          </w:tcPr>
          <w:p w14:paraId="04819500"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Performance metrics</w:t>
            </w:r>
          </w:p>
        </w:tc>
        <w:tc>
          <w:tcPr>
            <w:tcW w:w="1801" w:type="pct"/>
            <w:gridSpan w:val="3"/>
            <w:tcBorders>
              <w:top w:val="single" w:sz="8" w:space="0" w:color="auto"/>
              <w:bottom w:val="nil"/>
            </w:tcBorders>
            <w:vAlign w:val="center"/>
          </w:tcPr>
          <w:p w14:paraId="7A3DCFD4" w14:textId="77777777" w:rsidR="00893072" w:rsidRPr="00893072" w:rsidRDefault="00893072" w:rsidP="00EC408F">
            <w:pPr>
              <w:jc w:val="center"/>
              <w:rPr>
                <w:rFonts w:ascii="Myriad Pro" w:eastAsia="宋体" w:hAnsi="Myriad Pro" w:cs="Times New Roman"/>
                <w:color w:val="000000" w:themeColor="text1"/>
                <w:sz w:val="22"/>
                <w:szCs w:val="22"/>
                <w:lang w:val="en-US"/>
              </w:rPr>
            </w:pPr>
            <w:proofErr w:type="spellStart"/>
            <w:r w:rsidRPr="00893072">
              <w:rPr>
                <w:rFonts w:ascii="Myriad Pro" w:eastAsia="宋体" w:hAnsi="Myriad Pro" w:cs="Times New Roman"/>
                <w:color w:val="000000" w:themeColor="text1"/>
                <w:sz w:val="22"/>
              </w:rPr>
              <w:t>Lipat</w:t>
            </w:r>
            <w:proofErr w:type="spellEnd"/>
            <w:r w:rsidRPr="00893072">
              <w:rPr>
                <w:rFonts w:ascii="Myriad Pro" w:eastAsia="宋体" w:hAnsi="Myriad Pro" w:cs="Times New Roman"/>
                <w:color w:val="000000" w:themeColor="text1"/>
                <w:sz w:val="22"/>
              </w:rPr>
              <w:t xml:space="preserve"> Kain</w:t>
            </w:r>
          </w:p>
        </w:tc>
        <w:tc>
          <w:tcPr>
            <w:tcW w:w="2017" w:type="pct"/>
            <w:gridSpan w:val="3"/>
            <w:tcBorders>
              <w:top w:val="single" w:sz="8" w:space="0" w:color="auto"/>
              <w:bottom w:val="nil"/>
            </w:tcBorders>
            <w:vAlign w:val="center"/>
          </w:tcPr>
          <w:p w14:paraId="305AE603" w14:textId="77777777" w:rsidR="00893072" w:rsidRPr="00893072" w:rsidRDefault="00893072" w:rsidP="00EC408F">
            <w:pPr>
              <w:jc w:val="center"/>
              <w:rPr>
                <w:rFonts w:ascii="Myriad Pro" w:eastAsia="宋体" w:hAnsi="Myriad Pro" w:cs="Times New Roman"/>
                <w:color w:val="000000" w:themeColor="text1"/>
                <w:sz w:val="22"/>
                <w:szCs w:val="22"/>
                <w:lang w:val="en-US"/>
              </w:rPr>
            </w:pPr>
            <w:proofErr w:type="spellStart"/>
            <w:r w:rsidRPr="00893072">
              <w:rPr>
                <w:rFonts w:ascii="Myriad Pro" w:eastAsia="宋体" w:hAnsi="Myriad Pro" w:cs="Times New Roman"/>
                <w:color w:val="000000" w:themeColor="text1"/>
                <w:sz w:val="22"/>
              </w:rPr>
              <w:t>Kunyir</w:t>
            </w:r>
            <w:proofErr w:type="spellEnd"/>
          </w:p>
        </w:tc>
      </w:tr>
      <w:tr w:rsidR="00893072" w:rsidRPr="00893072" w14:paraId="10AFB07F" w14:textId="77777777" w:rsidTr="00EC408F">
        <w:trPr>
          <w:cantSplit/>
          <w:tblHeader/>
          <w:jc w:val="center"/>
        </w:trPr>
        <w:tc>
          <w:tcPr>
            <w:tcW w:w="1182" w:type="pct"/>
            <w:vMerge/>
            <w:tcBorders>
              <w:bottom w:val="single" w:sz="8" w:space="0" w:color="auto"/>
            </w:tcBorders>
            <w:vAlign w:val="center"/>
          </w:tcPr>
          <w:p w14:paraId="1374456A" w14:textId="77777777" w:rsidR="00893072" w:rsidRPr="00893072" w:rsidRDefault="00893072" w:rsidP="00EC408F">
            <w:pPr>
              <w:jc w:val="center"/>
              <w:rPr>
                <w:rFonts w:ascii="Myriad Pro" w:eastAsia="宋体" w:hAnsi="Myriad Pro" w:cs="Times New Roman"/>
                <w:color w:val="000000" w:themeColor="text1"/>
                <w:sz w:val="22"/>
                <w:szCs w:val="22"/>
                <w:lang w:val="en-US"/>
              </w:rPr>
            </w:pPr>
          </w:p>
        </w:tc>
        <w:tc>
          <w:tcPr>
            <w:tcW w:w="599" w:type="pct"/>
            <w:tcBorders>
              <w:top w:val="single" w:sz="8" w:space="0" w:color="auto"/>
              <w:bottom w:val="single" w:sz="8" w:space="0" w:color="auto"/>
            </w:tcBorders>
            <w:vAlign w:val="center"/>
          </w:tcPr>
          <w:p w14:paraId="6E97B36B"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Dry Season</w:t>
            </w:r>
          </w:p>
        </w:tc>
        <w:tc>
          <w:tcPr>
            <w:tcW w:w="599" w:type="pct"/>
            <w:tcBorders>
              <w:top w:val="single" w:sz="8" w:space="0" w:color="auto"/>
              <w:bottom w:val="single" w:sz="8" w:space="0" w:color="auto"/>
            </w:tcBorders>
            <w:vAlign w:val="center"/>
          </w:tcPr>
          <w:p w14:paraId="4CCB0DC0"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Wet Season</w:t>
            </w:r>
          </w:p>
        </w:tc>
        <w:tc>
          <w:tcPr>
            <w:tcW w:w="603" w:type="pct"/>
            <w:tcBorders>
              <w:top w:val="single" w:sz="8" w:space="0" w:color="auto"/>
              <w:bottom w:val="single" w:sz="8" w:space="0" w:color="auto"/>
            </w:tcBorders>
            <w:vAlign w:val="center"/>
          </w:tcPr>
          <w:p w14:paraId="24DB5E96"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Annual</w:t>
            </w:r>
          </w:p>
        </w:tc>
        <w:tc>
          <w:tcPr>
            <w:tcW w:w="650" w:type="pct"/>
            <w:tcBorders>
              <w:top w:val="single" w:sz="8" w:space="0" w:color="auto"/>
              <w:bottom w:val="single" w:sz="8" w:space="0" w:color="auto"/>
            </w:tcBorders>
            <w:vAlign w:val="center"/>
          </w:tcPr>
          <w:p w14:paraId="0EC8602F"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Dry Season</w:t>
            </w:r>
          </w:p>
        </w:tc>
        <w:tc>
          <w:tcPr>
            <w:tcW w:w="684" w:type="pct"/>
            <w:tcBorders>
              <w:top w:val="single" w:sz="8" w:space="0" w:color="auto"/>
              <w:bottom w:val="single" w:sz="8" w:space="0" w:color="auto"/>
            </w:tcBorders>
            <w:vAlign w:val="center"/>
          </w:tcPr>
          <w:p w14:paraId="381EADB0"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Wet Season</w:t>
            </w:r>
          </w:p>
        </w:tc>
        <w:tc>
          <w:tcPr>
            <w:tcW w:w="683" w:type="pct"/>
            <w:tcBorders>
              <w:top w:val="single" w:sz="8" w:space="0" w:color="auto"/>
              <w:bottom w:val="single" w:sz="8" w:space="0" w:color="auto"/>
            </w:tcBorders>
            <w:vAlign w:val="center"/>
          </w:tcPr>
          <w:p w14:paraId="0BF9FEC6"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Annual</w:t>
            </w:r>
          </w:p>
        </w:tc>
      </w:tr>
      <w:tr w:rsidR="00893072" w:rsidRPr="00893072" w14:paraId="524074ED" w14:textId="77777777" w:rsidTr="00EC408F">
        <w:trPr>
          <w:cantSplit/>
          <w:tblHeader/>
          <w:jc w:val="center"/>
        </w:trPr>
        <w:tc>
          <w:tcPr>
            <w:tcW w:w="1182" w:type="pct"/>
            <w:tcBorders>
              <w:top w:val="single" w:sz="8" w:space="0" w:color="auto"/>
              <w:bottom w:val="nil"/>
            </w:tcBorders>
            <w:vAlign w:val="center"/>
          </w:tcPr>
          <w:p w14:paraId="3F12C550"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Mean Absolute Error (MAE)</w:t>
            </w:r>
          </w:p>
        </w:tc>
        <w:tc>
          <w:tcPr>
            <w:tcW w:w="599" w:type="pct"/>
            <w:tcBorders>
              <w:top w:val="single" w:sz="8" w:space="0" w:color="auto"/>
              <w:bottom w:val="nil"/>
            </w:tcBorders>
            <w:vAlign w:val="center"/>
          </w:tcPr>
          <w:p w14:paraId="4E286B59"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52.837</w:t>
            </w:r>
          </w:p>
        </w:tc>
        <w:tc>
          <w:tcPr>
            <w:tcW w:w="599" w:type="pct"/>
            <w:tcBorders>
              <w:top w:val="single" w:sz="8" w:space="0" w:color="auto"/>
              <w:bottom w:val="nil"/>
            </w:tcBorders>
            <w:vAlign w:val="center"/>
          </w:tcPr>
          <w:p w14:paraId="7FAB14A3"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30.939</w:t>
            </w:r>
          </w:p>
        </w:tc>
        <w:tc>
          <w:tcPr>
            <w:tcW w:w="603" w:type="pct"/>
            <w:tcBorders>
              <w:top w:val="single" w:sz="8" w:space="0" w:color="auto"/>
              <w:bottom w:val="nil"/>
            </w:tcBorders>
            <w:vAlign w:val="center"/>
          </w:tcPr>
          <w:p w14:paraId="6143B337"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41.484</w:t>
            </w:r>
          </w:p>
        </w:tc>
        <w:tc>
          <w:tcPr>
            <w:tcW w:w="650" w:type="pct"/>
            <w:tcBorders>
              <w:top w:val="single" w:sz="8" w:space="0" w:color="auto"/>
              <w:bottom w:val="nil"/>
            </w:tcBorders>
            <w:vAlign w:val="center"/>
          </w:tcPr>
          <w:p w14:paraId="7D3F2483"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1.238</w:t>
            </w:r>
          </w:p>
        </w:tc>
        <w:tc>
          <w:tcPr>
            <w:tcW w:w="684" w:type="pct"/>
            <w:tcBorders>
              <w:top w:val="single" w:sz="8" w:space="0" w:color="auto"/>
              <w:bottom w:val="nil"/>
            </w:tcBorders>
            <w:vAlign w:val="center"/>
          </w:tcPr>
          <w:p w14:paraId="7A68A621"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0.439</w:t>
            </w:r>
          </w:p>
        </w:tc>
        <w:tc>
          <w:tcPr>
            <w:tcW w:w="683" w:type="pct"/>
            <w:tcBorders>
              <w:top w:val="single" w:sz="8" w:space="0" w:color="auto"/>
              <w:bottom w:val="nil"/>
            </w:tcBorders>
            <w:vAlign w:val="center"/>
          </w:tcPr>
          <w:p w14:paraId="1BBA3999"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2.930</w:t>
            </w:r>
          </w:p>
        </w:tc>
      </w:tr>
      <w:tr w:rsidR="00893072" w:rsidRPr="00893072" w14:paraId="62D66090" w14:textId="77777777" w:rsidTr="00EC408F">
        <w:trPr>
          <w:cantSplit/>
          <w:tblHeader/>
          <w:jc w:val="center"/>
        </w:trPr>
        <w:tc>
          <w:tcPr>
            <w:tcW w:w="1182" w:type="pct"/>
            <w:tcBorders>
              <w:top w:val="nil"/>
              <w:bottom w:val="nil"/>
            </w:tcBorders>
            <w:vAlign w:val="center"/>
          </w:tcPr>
          <w:p w14:paraId="0DD299D8"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Mean Bias Error (MBE)</w:t>
            </w:r>
          </w:p>
        </w:tc>
        <w:tc>
          <w:tcPr>
            <w:tcW w:w="599" w:type="pct"/>
            <w:tcBorders>
              <w:top w:val="nil"/>
              <w:bottom w:val="nil"/>
            </w:tcBorders>
            <w:vAlign w:val="center"/>
          </w:tcPr>
          <w:p w14:paraId="63649C9A"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-52.837</w:t>
            </w:r>
          </w:p>
        </w:tc>
        <w:tc>
          <w:tcPr>
            <w:tcW w:w="599" w:type="pct"/>
            <w:tcBorders>
              <w:top w:val="nil"/>
              <w:bottom w:val="nil"/>
            </w:tcBorders>
            <w:vAlign w:val="center"/>
          </w:tcPr>
          <w:p w14:paraId="25D8B56F"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-28.046</w:t>
            </w:r>
          </w:p>
        </w:tc>
        <w:tc>
          <w:tcPr>
            <w:tcW w:w="603" w:type="pct"/>
            <w:tcBorders>
              <w:top w:val="nil"/>
              <w:bottom w:val="nil"/>
            </w:tcBorders>
            <w:vAlign w:val="center"/>
          </w:tcPr>
          <w:p w14:paraId="05B535F9"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-41.484</w:t>
            </w:r>
          </w:p>
        </w:tc>
        <w:tc>
          <w:tcPr>
            <w:tcW w:w="650" w:type="pct"/>
            <w:tcBorders>
              <w:top w:val="nil"/>
              <w:bottom w:val="nil"/>
            </w:tcBorders>
            <w:vAlign w:val="center"/>
          </w:tcPr>
          <w:p w14:paraId="13E45259"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1.238</w:t>
            </w:r>
          </w:p>
        </w:tc>
        <w:tc>
          <w:tcPr>
            <w:tcW w:w="684" w:type="pct"/>
            <w:tcBorders>
              <w:top w:val="nil"/>
              <w:bottom w:val="nil"/>
            </w:tcBorders>
            <w:vAlign w:val="center"/>
          </w:tcPr>
          <w:p w14:paraId="3937DF59"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0.125</w:t>
            </w:r>
          </w:p>
        </w:tc>
        <w:tc>
          <w:tcPr>
            <w:tcW w:w="683" w:type="pct"/>
            <w:tcBorders>
              <w:top w:val="nil"/>
              <w:bottom w:val="nil"/>
            </w:tcBorders>
            <w:vAlign w:val="center"/>
          </w:tcPr>
          <w:p w14:paraId="2F8029F5"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0.420</w:t>
            </w:r>
          </w:p>
        </w:tc>
      </w:tr>
      <w:tr w:rsidR="00893072" w:rsidRPr="00893072" w14:paraId="2365128F" w14:textId="77777777" w:rsidTr="00EC408F">
        <w:trPr>
          <w:cantSplit/>
          <w:tblHeader/>
          <w:jc w:val="center"/>
        </w:trPr>
        <w:tc>
          <w:tcPr>
            <w:tcW w:w="1182" w:type="pct"/>
            <w:tcBorders>
              <w:top w:val="nil"/>
              <w:bottom w:val="nil"/>
            </w:tcBorders>
            <w:vAlign w:val="center"/>
          </w:tcPr>
          <w:p w14:paraId="554355DE"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Root Mean Square Error (RMSE)</w:t>
            </w:r>
          </w:p>
        </w:tc>
        <w:tc>
          <w:tcPr>
            <w:tcW w:w="599" w:type="pct"/>
            <w:tcBorders>
              <w:top w:val="nil"/>
              <w:bottom w:val="nil"/>
            </w:tcBorders>
            <w:vAlign w:val="center"/>
          </w:tcPr>
          <w:p w14:paraId="13421286"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59.595</w:t>
            </w:r>
          </w:p>
        </w:tc>
        <w:tc>
          <w:tcPr>
            <w:tcW w:w="599" w:type="pct"/>
            <w:tcBorders>
              <w:top w:val="nil"/>
              <w:bottom w:val="nil"/>
            </w:tcBorders>
            <w:vAlign w:val="center"/>
          </w:tcPr>
          <w:p w14:paraId="68CD4F3B"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42.854</w:t>
            </w:r>
          </w:p>
        </w:tc>
        <w:tc>
          <w:tcPr>
            <w:tcW w:w="603" w:type="pct"/>
            <w:tcBorders>
              <w:top w:val="nil"/>
              <w:bottom w:val="nil"/>
            </w:tcBorders>
            <w:vAlign w:val="center"/>
          </w:tcPr>
          <w:p w14:paraId="27657F40"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43.869</w:t>
            </w:r>
          </w:p>
        </w:tc>
        <w:tc>
          <w:tcPr>
            <w:tcW w:w="650" w:type="pct"/>
            <w:tcBorders>
              <w:top w:val="nil"/>
              <w:bottom w:val="nil"/>
            </w:tcBorders>
            <w:vAlign w:val="center"/>
          </w:tcPr>
          <w:p w14:paraId="7BCF748A"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1.586</w:t>
            </w:r>
          </w:p>
        </w:tc>
        <w:tc>
          <w:tcPr>
            <w:tcW w:w="684" w:type="pct"/>
            <w:tcBorders>
              <w:top w:val="nil"/>
              <w:bottom w:val="nil"/>
            </w:tcBorders>
            <w:vAlign w:val="center"/>
          </w:tcPr>
          <w:p w14:paraId="60B6DE79"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0.544</w:t>
            </w:r>
          </w:p>
        </w:tc>
        <w:tc>
          <w:tcPr>
            <w:tcW w:w="683" w:type="pct"/>
            <w:tcBorders>
              <w:top w:val="nil"/>
              <w:bottom w:val="nil"/>
            </w:tcBorders>
            <w:vAlign w:val="center"/>
          </w:tcPr>
          <w:p w14:paraId="6281AA09"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3.365</w:t>
            </w:r>
          </w:p>
        </w:tc>
      </w:tr>
      <w:tr w:rsidR="00893072" w:rsidRPr="00893072" w14:paraId="717DD764" w14:textId="77777777" w:rsidTr="00EC408F">
        <w:trPr>
          <w:cantSplit/>
          <w:tblHeader/>
          <w:jc w:val="center"/>
        </w:trPr>
        <w:tc>
          <w:tcPr>
            <w:tcW w:w="1182" w:type="pct"/>
            <w:tcBorders>
              <w:top w:val="nil"/>
              <w:bottom w:val="nil"/>
            </w:tcBorders>
            <w:vAlign w:val="center"/>
          </w:tcPr>
          <w:p w14:paraId="7785B204"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Coefficient of determination (R</w:t>
            </w:r>
            <w:r w:rsidRPr="00893072">
              <w:rPr>
                <w:rFonts w:ascii="Myriad Pro" w:eastAsia="宋体" w:hAnsi="Myriad Pro" w:cs="Times New Roman"/>
                <w:color w:val="000000" w:themeColor="text1"/>
                <w:sz w:val="22"/>
                <w:vertAlign w:val="superscript"/>
              </w:rPr>
              <w:t>2</w:t>
            </w:r>
            <w:r w:rsidRPr="00893072">
              <w:rPr>
                <w:rFonts w:ascii="Myriad Pro" w:eastAsia="宋体" w:hAnsi="Myriad Pro" w:cs="Times New Roman"/>
                <w:color w:val="000000" w:themeColor="text1"/>
                <w:sz w:val="22"/>
              </w:rPr>
              <w:t>)</w:t>
            </w:r>
          </w:p>
        </w:tc>
        <w:tc>
          <w:tcPr>
            <w:tcW w:w="599" w:type="pct"/>
            <w:tcBorders>
              <w:top w:val="nil"/>
              <w:bottom w:val="nil"/>
            </w:tcBorders>
            <w:vAlign w:val="center"/>
          </w:tcPr>
          <w:p w14:paraId="5F0B3AE3"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0.950</w:t>
            </w:r>
          </w:p>
        </w:tc>
        <w:tc>
          <w:tcPr>
            <w:tcW w:w="599" w:type="pct"/>
            <w:tcBorders>
              <w:top w:val="nil"/>
              <w:bottom w:val="nil"/>
            </w:tcBorders>
            <w:vAlign w:val="center"/>
          </w:tcPr>
          <w:p w14:paraId="4CDF04FC"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0.970</w:t>
            </w:r>
          </w:p>
        </w:tc>
        <w:tc>
          <w:tcPr>
            <w:tcW w:w="603" w:type="pct"/>
            <w:tcBorders>
              <w:top w:val="nil"/>
              <w:bottom w:val="nil"/>
            </w:tcBorders>
            <w:vAlign w:val="center"/>
          </w:tcPr>
          <w:p w14:paraId="22CF0E51"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0.816</w:t>
            </w:r>
          </w:p>
        </w:tc>
        <w:tc>
          <w:tcPr>
            <w:tcW w:w="650" w:type="pct"/>
            <w:tcBorders>
              <w:top w:val="nil"/>
              <w:bottom w:val="nil"/>
            </w:tcBorders>
            <w:vAlign w:val="center"/>
          </w:tcPr>
          <w:p w14:paraId="7C64F9F0"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0.962</w:t>
            </w:r>
          </w:p>
        </w:tc>
        <w:tc>
          <w:tcPr>
            <w:tcW w:w="684" w:type="pct"/>
            <w:tcBorders>
              <w:top w:val="nil"/>
              <w:bottom w:val="nil"/>
            </w:tcBorders>
            <w:vAlign w:val="center"/>
          </w:tcPr>
          <w:p w14:paraId="48D55516"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0.980</w:t>
            </w:r>
          </w:p>
        </w:tc>
        <w:tc>
          <w:tcPr>
            <w:tcW w:w="683" w:type="pct"/>
            <w:tcBorders>
              <w:top w:val="nil"/>
              <w:bottom w:val="nil"/>
            </w:tcBorders>
            <w:vAlign w:val="center"/>
          </w:tcPr>
          <w:p w14:paraId="3B2E1239"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0.933</w:t>
            </w:r>
          </w:p>
        </w:tc>
      </w:tr>
      <w:tr w:rsidR="00893072" w:rsidRPr="00893072" w14:paraId="05234B1A" w14:textId="77777777" w:rsidTr="00EC408F">
        <w:trPr>
          <w:cantSplit/>
          <w:tblHeader/>
          <w:jc w:val="center"/>
        </w:trPr>
        <w:tc>
          <w:tcPr>
            <w:tcW w:w="1182" w:type="pct"/>
            <w:tcBorders>
              <w:top w:val="nil"/>
              <w:bottom w:val="single" w:sz="4" w:space="0" w:color="auto"/>
            </w:tcBorders>
            <w:vAlign w:val="center"/>
          </w:tcPr>
          <w:p w14:paraId="03BD0A7F"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Index of agreement (D)</w:t>
            </w:r>
          </w:p>
        </w:tc>
        <w:tc>
          <w:tcPr>
            <w:tcW w:w="599" w:type="pct"/>
            <w:tcBorders>
              <w:top w:val="nil"/>
              <w:bottom w:val="single" w:sz="4" w:space="0" w:color="auto"/>
            </w:tcBorders>
            <w:vAlign w:val="center"/>
          </w:tcPr>
          <w:p w14:paraId="064864A9"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0.728</w:t>
            </w:r>
          </w:p>
        </w:tc>
        <w:tc>
          <w:tcPr>
            <w:tcW w:w="599" w:type="pct"/>
            <w:tcBorders>
              <w:top w:val="nil"/>
              <w:bottom w:val="single" w:sz="4" w:space="0" w:color="auto"/>
            </w:tcBorders>
            <w:vAlign w:val="center"/>
          </w:tcPr>
          <w:p w14:paraId="224A558D"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0.944</w:t>
            </w:r>
          </w:p>
        </w:tc>
        <w:tc>
          <w:tcPr>
            <w:tcW w:w="603" w:type="pct"/>
            <w:tcBorders>
              <w:top w:val="nil"/>
              <w:bottom w:val="single" w:sz="4" w:space="0" w:color="auto"/>
            </w:tcBorders>
            <w:vAlign w:val="center"/>
          </w:tcPr>
          <w:p w14:paraId="18C0D7DE"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0.651</w:t>
            </w:r>
          </w:p>
        </w:tc>
        <w:tc>
          <w:tcPr>
            <w:tcW w:w="650" w:type="pct"/>
            <w:tcBorders>
              <w:top w:val="nil"/>
              <w:bottom w:val="single" w:sz="4" w:space="0" w:color="auto"/>
            </w:tcBorders>
            <w:vAlign w:val="center"/>
          </w:tcPr>
          <w:p w14:paraId="39262ABA"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0.975</w:t>
            </w:r>
          </w:p>
        </w:tc>
        <w:tc>
          <w:tcPr>
            <w:tcW w:w="684" w:type="pct"/>
            <w:tcBorders>
              <w:top w:val="nil"/>
              <w:bottom w:val="single" w:sz="4" w:space="0" w:color="auto"/>
            </w:tcBorders>
            <w:vAlign w:val="center"/>
          </w:tcPr>
          <w:p w14:paraId="0841FB90"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0.994</w:t>
            </w:r>
          </w:p>
        </w:tc>
        <w:tc>
          <w:tcPr>
            <w:tcW w:w="683" w:type="pct"/>
            <w:tcBorders>
              <w:top w:val="nil"/>
              <w:bottom w:val="single" w:sz="4" w:space="0" w:color="auto"/>
            </w:tcBorders>
            <w:vAlign w:val="center"/>
          </w:tcPr>
          <w:p w14:paraId="665C7C8E" w14:textId="77777777" w:rsidR="00893072" w:rsidRPr="00893072" w:rsidRDefault="00893072" w:rsidP="00EC408F">
            <w:pPr>
              <w:jc w:val="center"/>
              <w:rPr>
                <w:rFonts w:ascii="Myriad Pro" w:eastAsia="宋体" w:hAnsi="Myriad Pro" w:cs="Times New Roman"/>
                <w:color w:val="000000" w:themeColor="text1"/>
                <w:sz w:val="22"/>
                <w:szCs w:val="22"/>
                <w:lang w:val="en-US"/>
              </w:rPr>
            </w:pPr>
            <w:r w:rsidRPr="00893072">
              <w:rPr>
                <w:rFonts w:ascii="Myriad Pro" w:eastAsia="宋体" w:hAnsi="Myriad Pro" w:cs="Times New Roman"/>
                <w:color w:val="000000" w:themeColor="text1"/>
                <w:sz w:val="22"/>
              </w:rPr>
              <w:t>0.957</w:t>
            </w:r>
          </w:p>
        </w:tc>
      </w:tr>
    </w:tbl>
    <w:p w14:paraId="7F987F4F" w14:textId="2B396427" w:rsidR="00CB6233" w:rsidRDefault="00CB6233" w:rsidP="00CB6233">
      <w:pPr>
        <w:pStyle w:val="SMcaption"/>
        <w:rPr>
          <w:noProof/>
          <w:lang w:eastAsia="zh-CN"/>
        </w:rPr>
      </w:pPr>
    </w:p>
    <w:p w14:paraId="5217FAA6" w14:textId="331B257F" w:rsidR="00DD25D3" w:rsidRPr="005314B5" w:rsidRDefault="00DD25D3" w:rsidP="00DD25D3">
      <w:pPr>
        <w:pStyle w:val="SMHeading"/>
        <w:rPr>
          <w:rFonts w:ascii="Myriad Pro" w:hAnsi="Myriad Pro"/>
          <w:sz w:val="22"/>
          <w:szCs w:val="22"/>
        </w:rPr>
      </w:pPr>
      <w:r w:rsidRPr="005314B5">
        <w:rPr>
          <w:rFonts w:ascii="Myriad Pro" w:hAnsi="Myriad Pro"/>
          <w:sz w:val="22"/>
          <w:szCs w:val="22"/>
        </w:rPr>
        <w:t>Text</w:t>
      </w:r>
      <w:r>
        <w:rPr>
          <w:rFonts w:ascii="Myriad Pro" w:hAnsi="Myriad Pro"/>
          <w:sz w:val="22"/>
          <w:szCs w:val="22"/>
        </w:rPr>
        <w:t xml:space="preserve"> S2</w:t>
      </w:r>
    </w:p>
    <w:p w14:paraId="39522094" w14:textId="1CDAB9D1" w:rsidR="00DD25D3" w:rsidRPr="00832329" w:rsidRDefault="00893072" w:rsidP="00476ED4">
      <w:pPr>
        <w:pStyle w:val="Text"/>
        <w:ind w:firstLine="0"/>
        <w:sectPr w:rsidR="00DD25D3" w:rsidRPr="00832329" w:rsidSect="001D16C5">
          <w:headerReference w:type="default" r:id="rId12"/>
          <w:footerReference w:type="default" r:id="rId13"/>
          <w:headerReference w:type="first" r:id="rId14"/>
          <w:pgSz w:w="12240" w:h="15840"/>
          <w:pgMar w:top="1440" w:right="1440" w:bottom="1440" w:left="1440" w:header="432" w:footer="720" w:gutter="0"/>
          <w:lnNumType w:countBy="1" w:restart="continuous"/>
          <w:cols w:space="720"/>
          <w:docGrid w:linePitch="360"/>
        </w:sectPr>
      </w:pPr>
      <w:r w:rsidRPr="00893072">
        <w:rPr>
          <w:rFonts w:ascii="Myriad Pro" w:hAnsi="Myriad Pro"/>
          <w:sz w:val="22"/>
          <w:szCs w:val="22"/>
        </w:rPr>
        <w:t>We assessed the sensitivity of discharge on the hydropower production under the historical period, RCP6.0-1.5</w:t>
      </w:r>
      <w:r w:rsidRPr="00476ED4">
        <w:rPr>
          <w:sz w:val="22"/>
          <w:szCs w:val="22"/>
        </w:rPr>
        <w:t>°C</w:t>
      </w:r>
      <w:r w:rsidRPr="00893072">
        <w:rPr>
          <w:rFonts w:ascii="Myriad Pro" w:hAnsi="Myriad Pro"/>
          <w:sz w:val="22"/>
          <w:szCs w:val="22"/>
        </w:rPr>
        <w:t xml:space="preserve"> and RCP6.0-2</w:t>
      </w:r>
      <w:r w:rsidRPr="00476ED4">
        <w:rPr>
          <w:sz w:val="22"/>
          <w:szCs w:val="22"/>
        </w:rPr>
        <w:t>°C</w:t>
      </w:r>
      <w:r w:rsidRPr="00893072">
        <w:rPr>
          <w:rFonts w:ascii="Myriad Pro" w:hAnsi="Myriad Pro"/>
          <w:sz w:val="22"/>
          <w:szCs w:val="22"/>
        </w:rPr>
        <w:t xml:space="preserve"> scenarios by varying the original discharge by ±50%, ±30% and ±10% to run the </w:t>
      </w:r>
      <w:proofErr w:type="spellStart"/>
      <w:r w:rsidRPr="00893072">
        <w:rPr>
          <w:rFonts w:ascii="Myriad Pro" w:hAnsi="Myriad Pro"/>
          <w:sz w:val="22"/>
          <w:szCs w:val="22"/>
        </w:rPr>
        <w:t>BeWhere</w:t>
      </w:r>
      <w:proofErr w:type="spellEnd"/>
      <w:r w:rsidRPr="00893072">
        <w:rPr>
          <w:rFonts w:ascii="Myriad Pro" w:hAnsi="Myriad Pro"/>
          <w:sz w:val="22"/>
          <w:szCs w:val="22"/>
        </w:rPr>
        <w:t xml:space="preserve"> model. Because we focus on the different effects under different global warming scenarios, we compared the difference in hydropower production under the historical period, RCP6.0-1.5°C and RCP6.0-2°C scenarios when the discharge varied (shown in Table 5). The change in hydropower production versus power demand ranged from -7.45% to 5.39, and the change in hydropower production versus power demand changed more when driven by power consumption (ranging from -7.45% to 5.39%) than power production sites (ranging from -0.05% to 2.70%). In addition, the maximum of the changes occur</w:t>
      </w:r>
      <w:r w:rsidR="00DB7A31">
        <w:rPr>
          <w:rFonts w:ascii="Myriad Pro" w:hAnsi="Myriad Pro"/>
          <w:sz w:val="22"/>
          <w:szCs w:val="22"/>
        </w:rPr>
        <w:t>s</w:t>
      </w:r>
      <w:r w:rsidRPr="00893072">
        <w:rPr>
          <w:rFonts w:ascii="Myriad Pro" w:hAnsi="Myriad Pro"/>
          <w:sz w:val="22"/>
          <w:szCs w:val="22"/>
        </w:rPr>
        <w:t xml:space="preserve"> when discharge decreases by 50% driven by power consumption from the historical period to RCP6.0-1.5</w:t>
      </w:r>
      <w:r w:rsidRPr="00476ED4">
        <w:rPr>
          <w:sz w:val="22"/>
          <w:szCs w:val="22"/>
        </w:rPr>
        <w:t>°C</w:t>
      </w:r>
      <w:r w:rsidRPr="00893072">
        <w:rPr>
          <w:rFonts w:ascii="Myriad Pro" w:hAnsi="Myriad Pro"/>
          <w:sz w:val="22"/>
          <w:szCs w:val="22"/>
        </w:rPr>
        <w:t>. For global warming from 1.5</w:t>
      </w:r>
      <w:r w:rsidRPr="00476ED4">
        <w:rPr>
          <w:sz w:val="22"/>
          <w:szCs w:val="22"/>
        </w:rPr>
        <w:t>°C</w:t>
      </w:r>
      <w:r w:rsidRPr="00893072">
        <w:rPr>
          <w:rFonts w:ascii="Myriad Pro" w:hAnsi="Myriad Pro"/>
          <w:sz w:val="22"/>
          <w:szCs w:val="22"/>
        </w:rPr>
        <w:t xml:space="preserve"> to 2</w:t>
      </w:r>
      <w:bookmarkStart w:id="3" w:name="_GoBack"/>
      <w:r w:rsidRPr="00476ED4">
        <w:rPr>
          <w:sz w:val="22"/>
          <w:szCs w:val="22"/>
        </w:rPr>
        <w:t>°C</w:t>
      </w:r>
      <w:bookmarkEnd w:id="3"/>
      <w:r w:rsidRPr="00893072">
        <w:rPr>
          <w:rFonts w:ascii="Myriad Pro" w:hAnsi="Myriad Pro"/>
          <w:sz w:val="22"/>
          <w:szCs w:val="22"/>
        </w:rPr>
        <w:t>, the change in hydropower production versus power demand is less than 1% when driven by power production sites. Thus, although the hydropower potential has the highest sensitivity to discharge (Zhou et al., 2015), the hydropower production in our study has a low sensitivity to discharge alerting.</w:t>
      </w:r>
      <w:bookmarkEnd w:id="0"/>
    </w:p>
    <w:p w14:paraId="5B871248" w14:textId="77777777" w:rsidR="00893072" w:rsidRPr="00893072" w:rsidRDefault="00893072" w:rsidP="00893072">
      <w:pPr>
        <w:pStyle w:val="FigureorTableCaption"/>
        <w:rPr>
          <w:rFonts w:ascii="Myriad Pro" w:hAnsi="Myriad Pro"/>
          <w:color w:val="000000" w:themeColor="text1"/>
        </w:rPr>
      </w:pPr>
      <w:r w:rsidRPr="00893072">
        <w:rPr>
          <w:rFonts w:ascii="Myriad Pro" w:hAnsi="Myriad Pro"/>
          <w:b/>
          <w:color w:val="000000" w:themeColor="text1"/>
        </w:rPr>
        <w:lastRenderedPageBreak/>
        <w:t>Table S2.</w:t>
      </w:r>
      <w:r w:rsidRPr="00893072">
        <w:rPr>
          <w:rFonts w:ascii="Myriad Pro" w:hAnsi="Myriad Pro"/>
          <w:color w:val="000000" w:themeColor="text1"/>
        </w:rPr>
        <w:t xml:space="preserve"> The difference of hydropower production under the historical period and under the RCP2.6-1.5°C, RCP6.0-1.5°C and RCP6.0-2°C scenarios. (units: %).</w:t>
      </w:r>
    </w:p>
    <w:tbl>
      <w:tblPr>
        <w:tblW w:w="13325" w:type="dxa"/>
        <w:jc w:val="center"/>
        <w:tblLayout w:type="fixed"/>
        <w:tblLook w:val="04A0" w:firstRow="1" w:lastRow="0" w:firstColumn="1" w:lastColumn="0" w:noHBand="0" w:noVBand="1"/>
      </w:tblPr>
      <w:tblGrid>
        <w:gridCol w:w="2835"/>
        <w:gridCol w:w="1701"/>
        <w:gridCol w:w="1843"/>
        <w:gridCol w:w="1701"/>
        <w:gridCol w:w="1843"/>
        <w:gridCol w:w="1701"/>
        <w:gridCol w:w="1701"/>
      </w:tblGrid>
      <w:tr w:rsidR="00893072" w:rsidRPr="00893072" w14:paraId="534BC072" w14:textId="77777777" w:rsidTr="00EC408F">
        <w:trPr>
          <w:trHeight w:val="625"/>
          <w:jc w:val="center"/>
        </w:trPr>
        <w:tc>
          <w:tcPr>
            <w:tcW w:w="2835" w:type="dxa"/>
            <w:vMerge w:val="restart"/>
            <w:tcBorders>
              <w:top w:val="single" w:sz="4" w:space="0" w:color="auto"/>
              <w:left w:val="nil"/>
            </w:tcBorders>
            <w:shd w:val="clear" w:color="auto" w:fill="auto"/>
            <w:noWrap/>
            <w:vAlign w:val="center"/>
            <w:hideMark/>
          </w:tcPr>
          <w:p w14:paraId="67D54DD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Discharge variation</w:t>
            </w:r>
          </w:p>
        </w:tc>
        <w:tc>
          <w:tcPr>
            <w:tcW w:w="3544" w:type="dxa"/>
            <w:gridSpan w:val="2"/>
            <w:tcBorders>
              <w:top w:val="single" w:sz="4" w:space="0" w:color="auto"/>
              <w:bottom w:val="single" w:sz="4" w:space="0" w:color="auto"/>
            </w:tcBorders>
            <w:shd w:val="clear" w:color="auto" w:fill="auto"/>
            <w:noWrap/>
            <w:vAlign w:val="center"/>
            <w:hideMark/>
          </w:tcPr>
          <w:p w14:paraId="7D180A57"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vertAlign w:val="superscript"/>
              </w:rPr>
              <w:t>a</w:t>
            </w:r>
            <w:r w:rsidRPr="00893072">
              <w:rPr>
                <w:rFonts w:ascii="Myriad Pro" w:eastAsia="等线" w:hAnsi="Myriad Pro"/>
                <w:color w:val="000000" w:themeColor="text1"/>
                <w:szCs w:val="21"/>
              </w:rPr>
              <w:t>RCP6.0-1.5°C - Historical period</w:t>
            </w:r>
          </w:p>
        </w:tc>
        <w:tc>
          <w:tcPr>
            <w:tcW w:w="3544" w:type="dxa"/>
            <w:gridSpan w:val="2"/>
            <w:tcBorders>
              <w:top w:val="single" w:sz="4" w:space="0" w:color="auto"/>
              <w:bottom w:val="single" w:sz="4" w:space="0" w:color="auto"/>
            </w:tcBorders>
            <w:shd w:val="clear" w:color="auto" w:fill="auto"/>
            <w:noWrap/>
            <w:vAlign w:val="center"/>
            <w:hideMark/>
          </w:tcPr>
          <w:p w14:paraId="1E51B89F" w14:textId="77777777" w:rsidR="00893072" w:rsidRPr="00893072" w:rsidRDefault="00893072" w:rsidP="00EC408F">
            <w:pPr>
              <w:jc w:val="center"/>
              <w:rPr>
                <w:rFonts w:ascii="Myriad Pro" w:eastAsia="等线" w:hAnsi="Myriad Pro"/>
                <w:color w:val="000000" w:themeColor="text1"/>
                <w:szCs w:val="21"/>
              </w:rPr>
            </w:pPr>
            <w:proofErr w:type="spellStart"/>
            <w:r w:rsidRPr="00893072">
              <w:rPr>
                <w:rFonts w:ascii="Myriad Pro" w:eastAsia="等线" w:hAnsi="Myriad Pro"/>
                <w:color w:val="000000" w:themeColor="text1"/>
                <w:szCs w:val="21"/>
                <w:vertAlign w:val="superscript"/>
              </w:rPr>
              <w:t>b</w:t>
            </w:r>
            <w:r w:rsidRPr="00893072">
              <w:rPr>
                <w:rFonts w:ascii="Myriad Pro" w:eastAsia="等线" w:hAnsi="Myriad Pro"/>
                <w:color w:val="000000" w:themeColor="text1"/>
                <w:szCs w:val="21"/>
              </w:rPr>
              <w:t>RCP</w:t>
            </w:r>
            <w:proofErr w:type="spellEnd"/>
            <w:r w:rsidRPr="00893072">
              <w:rPr>
                <w:rFonts w:ascii="Myriad Pro" w:eastAsia="等线" w:hAnsi="Myriad Pro"/>
                <w:color w:val="000000" w:themeColor="text1"/>
                <w:szCs w:val="21"/>
              </w:rPr>
              <w:t xml:space="preserve"> 6.0-2°C - Historical period</w:t>
            </w:r>
          </w:p>
        </w:tc>
        <w:tc>
          <w:tcPr>
            <w:tcW w:w="3402" w:type="dxa"/>
            <w:gridSpan w:val="2"/>
            <w:tcBorders>
              <w:top w:val="single" w:sz="4" w:space="0" w:color="auto"/>
              <w:bottom w:val="single" w:sz="4" w:space="0" w:color="auto"/>
              <w:right w:val="nil"/>
            </w:tcBorders>
            <w:shd w:val="clear" w:color="auto" w:fill="auto"/>
            <w:noWrap/>
            <w:vAlign w:val="center"/>
            <w:hideMark/>
          </w:tcPr>
          <w:p w14:paraId="40247FE8" w14:textId="77777777" w:rsidR="00893072" w:rsidRPr="00893072" w:rsidRDefault="00893072" w:rsidP="00EC408F">
            <w:pPr>
              <w:jc w:val="center"/>
              <w:rPr>
                <w:rFonts w:ascii="Myriad Pro" w:eastAsia="等线" w:hAnsi="Myriad Pro"/>
                <w:color w:val="000000" w:themeColor="text1"/>
                <w:szCs w:val="21"/>
              </w:rPr>
            </w:pPr>
            <w:proofErr w:type="spellStart"/>
            <w:r w:rsidRPr="00893072">
              <w:rPr>
                <w:rFonts w:ascii="Myriad Pro" w:eastAsia="等线" w:hAnsi="Myriad Pro"/>
                <w:color w:val="000000" w:themeColor="text1"/>
                <w:szCs w:val="21"/>
                <w:vertAlign w:val="superscript"/>
              </w:rPr>
              <w:t>c</w:t>
            </w:r>
            <w:r w:rsidRPr="00893072">
              <w:rPr>
                <w:rFonts w:ascii="Myriad Pro" w:eastAsia="等线" w:hAnsi="Myriad Pro"/>
                <w:color w:val="000000" w:themeColor="text1"/>
                <w:szCs w:val="21"/>
              </w:rPr>
              <w:t>RCP</w:t>
            </w:r>
            <w:proofErr w:type="spellEnd"/>
            <w:r w:rsidRPr="00893072">
              <w:rPr>
                <w:rFonts w:ascii="Myriad Pro" w:eastAsia="等线" w:hAnsi="Myriad Pro"/>
                <w:color w:val="000000" w:themeColor="text1"/>
                <w:szCs w:val="21"/>
              </w:rPr>
              <w:t xml:space="preserve"> 6.0-2°C - RCP 6.0-1.5°C</w:t>
            </w:r>
          </w:p>
        </w:tc>
      </w:tr>
      <w:tr w:rsidR="00893072" w:rsidRPr="00893072" w14:paraId="2851F80B" w14:textId="77777777" w:rsidTr="00EC408F">
        <w:trPr>
          <w:trHeight w:val="315"/>
          <w:jc w:val="center"/>
        </w:trPr>
        <w:tc>
          <w:tcPr>
            <w:tcW w:w="2835" w:type="dxa"/>
            <w:vMerge/>
            <w:tcBorders>
              <w:left w:val="nil"/>
              <w:bottom w:val="single" w:sz="4" w:space="0" w:color="auto"/>
            </w:tcBorders>
            <w:shd w:val="clear" w:color="auto" w:fill="auto"/>
            <w:noWrap/>
            <w:vAlign w:val="center"/>
            <w:hideMark/>
          </w:tcPr>
          <w:p w14:paraId="1C22B51A" w14:textId="77777777" w:rsidR="00893072" w:rsidRPr="00893072" w:rsidRDefault="00893072" w:rsidP="00EC408F">
            <w:pPr>
              <w:jc w:val="center"/>
              <w:rPr>
                <w:rFonts w:ascii="Myriad Pro" w:eastAsia="等线" w:hAnsi="Myriad Pro"/>
                <w:color w:val="000000" w:themeColor="text1"/>
                <w:szCs w:val="21"/>
              </w:rPr>
            </w:pPr>
          </w:p>
        </w:tc>
        <w:tc>
          <w:tcPr>
            <w:tcW w:w="1701" w:type="dxa"/>
            <w:tcBorders>
              <w:top w:val="single" w:sz="4" w:space="0" w:color="auto"/>
              <w:bottom w:val="single" w:sz="4" w:space="0" w:color="auto"/>
            </w:tcBorders>
            <w:shd w:val="clear" w:color="auto" w:fill="auto"/>
            <w:noWrap/>
            <w:vAlign w:val="center"/>
            <w:hideMark/>
          </w:tcPr>
          <w:p w14:paraId="7A8A5832"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Power Production Sites</w:t>
            </w:r>
          </w:p>
        </w:tc>
        <w:tc>
          <w:tcPr>
            <w:tcW w:w="1843" w:type="dxa"/>
            <w:tcBorders>
              <w:top w:val="single" w:sz="4" w:space="0" w:color="auto"/>
              <w:bottom w:val="single" w:sz="4" w:space="0" w:color="auto"/>
            </w:tcBorders>
            <w:shd w:val="clear" w:color="auto" w:fill="auto"/>
            <w:noWrap/>
            <w:vAlign w:val="center"/>
            <w:hideMark/>
          </w:tcPr>
          <w:p w14:paraId="28666762"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Power Consumption</w:t>
            </w:r>
          </w:p>
        </w:tc>
        <w:tc>
          <w:tcPr>
            <w:tcW w:w="1701" w:type="dxa"/>
            <w:tcBorders>
              <w:top w:val="single" w:sz="4" w:space="0" w:color="auto"/>
              <w:bottom w:val="single" w:sz="4" w:space="0" w:color="auto"/>
            </w:tcBorders>
            <w:shd w:val="clear" w:color="auto" w:fill="auto"/>
            <w:noWrap/>
            <w:vAlign w:val="center"/>
            <w:hideMark/>
          </w:tcPr>
          <w:p w14:paraId="7B98DFC2"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Power Production Sites</w:t>
            </w:r>
          </w:p>
        </w:tc>
        <w:tc>
          <w:tcPr>
            <w:tcW w:w="1843" w:type="dxa"/>
            <w:tcBorders>
              <w:top w:val="single" w:sz="4" w:space="0" w:color="auto"/>
              <w:bottom w:val="single" w:sz="4" w:space="0" w:color="auto"/>
            </w:tcBorders>
            <w:shd w:val="clear" w:color="auto" w:fill="auto"/>
            <w:noWrap/>
            <w:vAlign w:val="center"/>
            <w:hideMark/>
          </w:tcPr>
          <w:p w14:paraId="32CD086B"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Power Consumption</w:t>
            </w:r>
          </w:p>
        </w:tc>
        <w:tc>
          <w:tcPr>
            <w:tcW w:w="1701" w:type="dxa"/>
            <w:tcBorders>
              <w:top w:val="single" w:sz="4" w:space="0" w:color="auto"/>
              <w:bottom w:val="single" w:sz="4" w:space="0" w:color="auto"/>
            </w:tcBorders>
            <w:shd w:val="clear" w:color="auto" w:fill="auto"/>
            <w:noWrap/>
            <w:vAlign w:val="center"/>
            <w:hideMark/>
          </w:tcPr>
          <w:p w14:paraId="7EC8BCEB"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Power Production Sites</w:t>
            </w:r>
          </w:p>
        </w:tc>
        <w:tc>
          <w:tcPr>
            <w:tcW w:w="1701" w:type="dxa"/>
            <w:tcBorders>
              <w:top w:val="single" w:sz="4" w:space="0" w:color="auto"/>
              <w:bottom w:val="single" w:sz="4" w:space="0" w:color="auto"/>
              <w:right w:val="nil"/>
            </w:tcBorders>
            <w:shd w:val="clear" w:color="auto" w:fill="auto"/>
            <w:noWrap/>
            <w:vAlign w:val="center"/>
            <w:hideMark/>
          </w:tcPr>
          <w:p w14:paraId="76049195"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Power Consumption</w:t>
            </w:r>
          </w:p>
        </w:tc>
      </w:tr>
      <w:tr w:rsidR="00893072" w:rsidRPr="00893072" w14:paraId="4B2736B0" w14:textId="77777777" w:rsidTr="00EC408F">
        <w:trPr>
          <w:trHeight w:val="300"/>
          <w:jc w:val="center"/>
        </w:trPr>
        <w:tc>
          <w:tcPr>
            <w:tcW w:w="2835" w:type="dxa"/>
            <w:tcBorders>
              <w:top w:val="single" w:sz="4" w:space="0" w:color="auto"/>
              <w:left w:val="nil"/>
              <w:bottom w:val="nil"/>
            </w:tcBorders>
            <w:shd w:val="clear" w:color="auto" w:fill="auto"/>
            <w:noWrap/>
            <w:vAlign w:val="center"/>
            <w:hideMark/>
          </w:tcPr>
          <w:p w14:paraId="6BA57BA9"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-50%</w:t>
            </w:r>
          </w:p>
        </w:tc>
        <w:tc>
          <w:tcPr>
            <w:tcW w:w="1701" w:type="dxa"/>
            <w:tcBorders>
              <w:top w:val="single" w:sz="4" w:space="0" w:color="auto"/>
              <w:bottom w:val="nil"/>
            </w:tcBorders>
            <w:shd w:val="clear" w:color="auto" w:fill="auto"/>
            <w:noWrap/>
            <w:vAlign w:val="center"/>
            <w:hideMark/>
          </w:tcPr>
          <w:p w14:paraId="4685EF0A"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2.74</w:t>
            </w:r>
          </w:p>
        </w:tc>
        <w:tc>
          <w:tcPr>
            <w:tcW w:w="1843" w:type="dxa"/>
            <w:tcBorders>
              <w:top w:val="single" w:sz="4" w:space="0" w:color="auto"/>
              <w:bottom w:val="nil"/>
            </w:tcBorders>
            <w:shd w:val="clear" w:color="auto" w:fill="auto"/>
            <w:noWrap/>
            <w:vAlign w:val="center"/>
            <w:hideMark/>
          </w:tcPr>
          <w:p w14:paraId="1B303B29"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-3.54</w:t>
            </w:r>
          </w:p>
        </w:tc>
        <w:tc>
          <w:tcPr>
            <w:tcW w:w="1701" w:type="dxa"/>
            <w:tcBorders>
              <w:top w:val="single" w:sz="4" w:space="0" w:color="auto"/>
              <w:bottom w:val="nil"/>
            </w:tcBorders>
            <w:shd w:val="clear" w:color="auto" w:fill="auto"/>
            <w:noWrap/>
            <w:vAlign w:val="center"/>
            <w:hideMark/>
          </w:tcPr>
          <w:p w14:paraId="245A5648"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2.64</w:t>
            </w:r>
          </w:p>
        </w:tc>
        <w:tc>
          <w:tcPr>
            <w:tcW w:w="1843" w:type="dxa"/>
            <w:tcBorders>
              <w:top w:val="single" w:sz="4" w:space="0" w:color="auto"/>
              <w:bottom w:val="nil"/>
            </w:tcBorders>
            <w:shd w:val="clear" w:color="auto" w:fill="auto"/>
            <w:noWrap/>
            <w:vAlign w:val="center"/>
            <w:hideMark/>
          </w:tcPr>
          <w:p w14:paraId="38ACDF73"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0.12</w:t>
            </w:r>
          </w:p>
        </w:tc>
        <w:tc>
          <w:tcPr>
            <w:tcW w:w="1701" w:type="dxa"/>
            <w:tcBorders>
              <w:top w:val="single" w:sz="4" w:space="0" w:color="auto"/>
              <w:bottom w:val="nil"/>
            </w:tcBorders>
            <w:shd w:val="clear" w:color="auto" w:fill="auto"/>
            <w:noWrap/>
            <w:vAlign w:val="center"/>
            <w:hideMark/>
          </w:tcPr>
          <w:p w14:paraId="5B0509B4"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-0.10</w:t>
            </w:r>
          </w:p>
        </w:tc>
        <w:tc>
          <w:tcPr>
            <w:tcW w:w="1701" w:type="dxa"/>
            <w:tcBorders>
              <w:top w:val="single" w:sz="4" w:space="0" w:color="auto"/>
              <w:bottom w:val="nil"/>
              <w:right w:val="nil"/>
            </w:tcBorders>
            <w:shd w:val="clear" w:color="auto" w:fill="auto"/>
            <w:noWrap/>
            <w:vAlign w:val="center"/>
            <w:hideMark/>
          </w:tcPr>
          <w:p w14:paraId="6B5230CE"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3.66</w:t>
            </w:r>
          </w:p>
        </w:tc>
      </w:tr>
      <w:tr w:rsidR="00893072" w:rsidRPr="00893072" w14:paraId="351D8744" w14:textId="77777777" w:rsidTr="00EC408F">
        <w:trPr>
          <w:trHeight w:val="300"/>
          <w:jc w:val="center"/>
        </w:trPr>
        <w:tc>
          <w:tcPr>
            <w:tcW w:w="2835" w:type="dxa"/>
            <w:tcBorders>
              <w:top w:val="nil"/>
              <w:left w:val="nil"/>
              <w:bottom w:val="nil"/>
            </w:tcBorders>
            <w:shd w:val="clear" w:color="auto" w:fill="auto"/>
            <w:noWrap/>
            <w:vAlign w:val="center"/>
            <w:hideMark/>
          </w:tcPr>
          <w:p w14:paraId="3A69CE7C"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-30%</w:t>
            </w:r>
          </w:p>
        </w:tc>
        <w:tc>
          <w:tcPr>
            <w:tcW w:w="1701" w:type="dxa"/>
            <w:tcBorders>
              <w:top w:val="nil"/>
              <w:bottom w:val="nil"/>
            </w:tcBorders>
            <w:shd w:val="clear" w:color="auto" w:fill="auto"/>
            <w:noWrap/>
            <w:vAlign w:val="center"/>
            <w:hideMark/>
          </w:tcPr>
          <w:p w14:paraId="08234F01"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0.05</w:t>
            </w:r>
          </w:p>
        </w:tc>
        <w:tc>
          <w:tcPr>
            <w:tcW w:w="1843" w:type="dxa"/>
            <w:tcBorders>
              <w:top w:val="nil"/>
              <w:bottom w:val="nil"/>
            </w:tcBorders>
            <w:shd w:val="clear" w:color="auto" w:fill="auto"/>
            <w:noWrap/>
            <w:vAlign w:val="center"/>
            <w:hideMark/>
          </w:tcPr>
          <w:p w14:paraId="4D9A98AD"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-1.21</w:t>
            </w:r>
          </w:p>
        </w:tc>
        <w:tc>
          <w:tcPr>
            <w:tcW w:w="1701" w:type="dxa"/>
            <w:tcBorders>
              <w:top w:val="nil"/>
              <w:bottom w:val="nil"/>
            </w:tcBorders>
            <w:shd w:val="clear" w:color="auto" w:fill="auto"/>
            <w:noWrap/>
            <w:vAlign w:val="center"/>
            <w:hideMark/>
          </w:tcPr>
          <w:p w14:paraId="3EE01158"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0.07</w:t>
            </w:r>
          </w:p>
        </w:tc>
        <w:tc>
          <w:tcPr>
            <w:tcW w:w="1843" w:type="dxa"/>
            <w:tcBorders>
              <w:top w:val="nil"/>
              <w:bottom w:val="nil"/>
            </w:tcBorders>
            <w:shd w:val="clear" w:color="auto" w:fill="auto"/>
            <w:noWrap/>
            <w:vAlign w:val="center"/>
            <w:hideMark/>
          </w:tcPr>
          <w:p w14:paraId="35063768"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-0.92</w:t>
            </w:r>
          </w:p>
        </w:tc>
        <w:tc>
          <w:tcPr>
            <w:tcW w:w="1701" w:type="dxa"/>
            <w:tcBorders>
              <w:top w:val="nil"/>
              <w:bottom w:val="nil"/>
            </w:tcBorders>
            <w:shd w:val="clear" w:color="auto" w:fill="auto"/>
            <w:noWrap/>
            <w:vAlign w:val="center"/>
            <w:hideMark/>
          </w:tcPr>
          <w:p w14:paraId="4A8873D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0.03</w:t>
            </w:r>
          </w:p>
        </w:tc>
        <w:tc>
          <w:tcPr>
            <w:tcW w:w="1701" w:type="dxa"/>
            <w:tcBorders>
              <w:top w:val="nil"/>
              <w:bottom w:val="nil"/>
              <w:right w:val="nil"/>
            </w:tcBorders>
            <w:shd w:val="clear" w:color="auto" w:fill="auto"/>
            <w:noWrap/>
            <w:vAlign w:val="center"/>
            <w:hideMark/>
          </w:tcPr>
          <w:p w14:paraId="6FD0B78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0.28</w:t>
            </w:r>
          </w:p>
        </w:tc>
      </w:tr>
      <w:tr w:rsidR="00893072" w:rsidRPr="00893072" w14:paraId="38DFB6E2" w14:textId="77777777" w:rsidTr="00EC408F">
        <w:trPr>
          <w:trHeight w:val="300"/>
          <w:jc w:val="center"/>
        </w:trPr>
        <w:tc>
          <w:tcPr>
            <w:tcW w:w="2835" w:type="dxa"/>
            <w:tcBorders>
              <w:top w:val="nil"/>
              <w:left w:val="nil"/>
              <w:bottom w:val="nil"/>
            </w:tcBorders>
            <w:shd w:val="clear" w:color="auto" w:fill="auto"/>
            <w:noWrap/>
            <w:vAlign w:val="center"/>
            <w:hideMark/>
          </w:tcPr>
          <w:p w14:paraId="48DB11A5"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-10%</w:t>
            </w:r>
          </w:p>
        </w:tc>
        <w:tc>
          <w:tcPr>
            <w:tcW w:w="1701" w:type="dxa"/>
            <w:tcBorders>
              <w:top w:val="nil"/>
              <w:bottom w:val="nil"/>
            </w:tcBorders>
            <w:shd w:val="clear" w:color="auto" w:fill="auto"/>
            <w:noWrap/>
            <w:vAlign w:val="center"/>
            <w:hideMark/>
          </w:tcPr>
          <w:p w14:paraId="1740CDE5"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0.05</w:t>
            </w:r>
          </w:p>
        </w:tc>
        <w:tc>
          <w:tcPr>
            <w:tcW w:w="1843" w:type="dxa"/>
            <w:tcBorders>
              <w:top w:val="nil"/>
              <w:bottom w:val="nil"/>
            </w:tcBorders>
            <w:shd w:val="clear" w:color="auto" w:fill="auto"/>
            <w:noWrap/>
            <w:vAlign w:val="center"/>
            <w:hideMark/>
          </w:tcPr>
          <w:p w14:paraId="2C2793B3"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0.61</w:t>
            </w:r>
          </w:p>
        </w:tc>
        <w:tc>
          <w:tcPr>
            <w:tcW w:w="1701" w:type="dxa"/>
            <w:tcBorders>
              <w:top w:val="nil"/>
              <w:bottom w:val="nil"/>
            </w:tcBorders>
            <w:shd w:val="clear" w:color="auto" w:fill="auto"/>
            <w:noWrap/>
            <w:vAlign w:val="center"/>
            <w:hideMark/>
          </w:tcPr>
          <w:p w14:paraId="0559F4C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0.02</w:t>
            </w:r>
          </w:p>
        </w:tc>
        <w:tc>
          <w:tcPr>
            <w:tcW w:w="1843" w:type="dxa"/>
            <w:tcBorders>
              <w:top w:val="nil"/>
              <w:bottom w:val="nil"/>
            </w:tcBorders>
            <w:shd w:val="clear" w:color="auto" w:fill="auto"/>
            <w:noWrap/>
            <w:vAlign w:val="center"/>
            <w:hideMark/>
          </w:tcPr>
          <w:p w14:paraId="671012FD"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-1.06</w:t>
            </w:r>
          </w:p>
        </w:tc>
        <w:tc>
          <w:tcPr>
            <w:tcW w:w="1701" w:type="dxa"/>
            <w:tcBorders>
              <w:top w:val="nil"/>
              <w:bottom w:val="nil"/>
            </w:tcBorders>
            <w:shd w:val="clear" w:color="auto" w:fill="auto"/>
            <w:noWrap/>
            <w:vAlign w:val="center"/>
            <w:hideMark/>
          </w:tcPr>
          <w:p w14:paraId="6EB5638D"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-0.03</w:t>
            </w:r>
          </w:p>
        </w:tc>
        <w:tc>
          <w:tcPr>
            <w:tcW w:w="1701" w:type="dxa"/>
            <w:tcBorders>
              <w:top w:val="nil"/>
              <w:bottom w:val="nil"/>
              <w:right w:val="nil"/>
            </w:tcBorders>
            <w:shd w:val="clear" w:color="auto" w:fill="auto"/>
            <w:noWrap/>
            <w:vAlign w:val="center"/>
            <w:hideMark/>
          </w:tcPr>
          <w:p w14:paraId="3FB90ACA"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-1.67</w:t>
            </w:r>
          </w:p>
        </w:tc>
      </w:tr>
      <w:tr w:rsidR="00893072" w:rsidRPr="00893072" w14:paraId="37EEC427" w14:textId="77777777" w:rsidTr="00EC408F">
        <w:trPr>
          <w:trHeight w:val="300"/>
          <w:jc w:val="center"/>
        </w:trPr>
        <w:tc>
          <w:tcPr>
            <w:tcW w:w="2835" w:type="dxa"/>
            <w:tcBorders>
              <w:top w:val="nil"/>
              <w:left w:val="nil"/>
              <w:bottom w:val="nil"/>
            </w:tcBorders>
            <w:shd w:val="clear" w:color="auto" w:fill="auto"/>
            <w:noWrap/>
            <w:vAlign w:val="center"/>
            <w:hideMark/>
          </w:tcPr>
          <w:p w14:paraId="7977CB39"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Original discharge</w:t>
            </w:r>
          </w:p>
        </w:tc>
        <w:tc>
          <w:tcPr>
            <w:tcW w:w="1701" w:type="dxa"/>
            <w:tcBorders>
              <w:top w:val="nil"/>
              <w:bottom w:val="nil"/>
            </w:tcBorders>
            <w:shd w:val="clear" w:color="auto" w:fill="auto"/>
            <w:noWrap/>
            <w:vAlign w:val="center"/>
            <w:hideMark/>
          </w:tcPr>
          <w:p w14:paraId="03BC42B8"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0.03</w:t>
            </w:r>
          </w:p>
        </w:tc>
        <w:tc>
          <w:tcPr>
            <w:tcW w:w="1843" w:type="dxa"/>
            <w:tcBorders>
              <w:top w:val="nil"/>
              <w:bottom w:val="nil"/>
            </w:tcBorders>
            <w:shd w:val="clear" w:color="auto" w:fill="auto"/>
            <w:noWrap/>
            <w:vAlign w:val="center"/>
            <w:hideMark/>
          </w:tcPr>
          <w:p w14:paraId="68584DCE"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3.91</w:t>
            </w:r>
          </w:p>
        </w:tc>
        <w:tc>
          <w:tcPr>
            <w:tcW w:w="1701" w:type="dxa"/>
            <w:tcBorders>
              <w:top w:val="nil"/>
              <w:bottom w:val="nil"/>
            </w:tcBorders>
            <w:shd w:val="clear" w:color="auto" w:fill="auto"/>
            <w:noWrap/>
            <w:vAlign w:val="center"/>
            <w:hideMark/>
          </w:tcPr>
          <w:p w14:paraId="1EADC42F"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-0.05</w:t>
            </w:r>
          </w:p>
        </w:tc>
        <w:tc>
          <w:tcPr>
            <w:tcW w:w="1843" w:type="dxa"/>
            <w:tcBorders>
              <w:top w:val="nil"/>
              <w:bottom w:val="nil"/>
            </w:tcBorders>
            <w:shd w:val="clear" w:color="auto" w:fill="auto"/>
            <w:noWrap/>
            <w:vAlign w:val="center"/>
            <w:hideMark/>
          </w:tcPr>
          <w:p w14:paraId="0B4C0B94"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2.19</w:t>
            </w:r>
          </w:p>
        </w:tc>
        <w:tc>
          <w:tcPr>
            <w:tcW w:w="1701" w:type="dxa"/>
            <w:tcBorders>
              <w:top w:val="nil"/>
              <w:bottom w:val="nil"/>
            </w:tcBorders>
            <w:shd w:val="clear" w:color="auto" w:fill="auto"/>
            <w:noWrap/>
            <w:vAlign w:val="center"/>
            <w:hideMark/>
          </w:tcPr>
          <w:p w14:paraId="7F64F1B2"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-0.08</w:t>
            </w:r>
          </w:p>
        </w:tc>
        <w:tc>
          <w:tcPr>
            <w:tcW w:w="1701" w:type="dxa"/>
            <w:tcBorders>
              <w:top w:val="nil"/>
              <w:bottom w:val="nil"/>
              <w:right w:val="nil"/>
            </w:tcBorders>
            <w:shd w:val="clear" w:color="auto" w:fill="auto"/>
            <w:noWrap/>
            <w:vAlign w:val="center"/>
            <w:hideMark/>
          </w:tcPr>
          <w:p w14:paraId="5E993E10"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-1.72</w:t>
            </w:r>
          </w:p>
        </w:tc>
      </w:tr>
      <w:tr w:rsidR="00893072" w:rsidRPr="00893072" w14:paraId="1E1356B3" w14:textId="77777777" w:rsidTr="00EC408F">
        <w:trPr>
          <w:trHeight w:val="300"/>
          <w:jc w:val="center"/>
        </w:trPr>
        <w:tc>
          <w:tcPr>
            <w:tcW w:w="2835" w:type="dxa"/>
            <w:tcBorders>
              <w:top w:val="nil"/>
              <w:left w:val="nil"/>
              <w:bottom w:val="nil"/>
            </w:tcBorders>
            <w:shd w:val="clear" w:color="auto" w:fill="auto"/>
            <w:noWrap/>
            <w:vAlign w:val="center"/>
            <w:hideMark/>
          </w:tcPr>
          <w:p w14:paraId="5DE7EBED"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+10%</w:t>
            </w:r>
          </w:p>
        </w:tc>
        <w:tc>
          <w:tcPr>
            <w:tcW w:w="1701" w:type="dxa"/>
            <w:tcBorders>
              <w:top w:val="nil"/>
              <w:bottom w:val="nil"/>
            </w:tcBorders>
            <w:shd w:val="clear" w:color="auto" w:fill="auto"/>
            <w:noWrap/>
            <w:vAlign w:val="center"/>
            <w:hideMark/>
          </w:tcPr>
          <w:p w14:paraId="2552C22F"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-0.08</w:t>
            </w:r>
          </w:p>
        </w:tc>
        <w:tc>
          <w:tcPr>
            <w:tcW w:w="1843" w:type="dxa"/>
            <w:tcBorders>
              <w:top w:val="nil"/>
              <w:bottom w:val="nil"/>
            </w:tcBorders>
            <w:shd w:val="clear" w:color="auto" w:fill="auto"/>
            <w:noWrap/>
            <w:vAlign w:val="center"/>
            <w:hideMark/>
          </w:tcPr>
          <w:p w14:paraId="72F04BCE"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1.06</w:t>
            </w:r>
          </w:p>
        </w:tc>
        <w:tc>
          <w:tcPr>
            <w:tcW w:w="1701" w:type="dxa"/>
            <w:tcBorders>
              <w:top w:val="nil"/>
              <w:bottom w:val="nil"/>
            </w:tcBorders>
            <w:shd w:val="clear" w:color="auto" w:fill="auto"/>
            <w:noWrap/>
            <w:vAlign w:val="center"/>
            <w:hideMark/>
          </w:tcPr>
          <w:p w14:paraId="079909A9"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-0.02</w:t>
            </w:r>
          </w:p>
        </w:tc>
        <w:tc>
          <w:tcPr>
            <w:tcW w:w="1843" w:type="dxa"/>
            <w:tcBorders>
              <w:top w:val="nil"/>
              <w:bottom w:val="nil"/>
            </w:tcBorders>
            <w:shd w:val="clear" w:color="auto" w:fill="auto"/>
            <w:noWrap/>
            <w:vAlign w:val="center"/>
            <w:hideMark/>
          </w:tcPr>
          <w:p w14:paraId="15145A8F"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-0.28</w:t>
            </w:r>
          </w:p>
        </w:tc>
        <w:tc>
          <w:tcPr>
            <w:tcW w:w="1701" w:type="dxa"/>
            <w:tcBorders>
              <w:top w:val="nil"/>
              <w:bottom w:val="nil"/>
            </w:tcBorders>
            <w:shd w:val="clear" w:color="auto" w:fill="auto"/>
            <w:noWrap/>
            <w:vAlign w:val="center"/>
            <w:hideMark/>
          </w:tcPr>
          <w:p w14:paraId="48E2E25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0.05</w:t>
            </w:r>
          </w:p>
        </w:tc>
        <w:tc>
          <w:tcPr>
            <w:tcW w:w="1701" w:type="dxa"/>
            <w:tcBorders>
              <w:top w:val="nil"/>
              <w:bottom w:val="nil"/>
              <w:right w:val="nil"/>
            </w:tcBorders>
            <w:shd w:val="clear" w:color="auto" w:fill="auto"/>
            <w:noWrap/>
            <w:vAlign w:val="center"/>
            <w:hideMark/>
          </w:tcPr>
          <w:p w14:paraId="4311D489"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-1.34</w:t>
            </w:r>
          </w:p>
        </w:tc>
      </w:tr>
      <w:tr w:rsidR="00893072" w:rsidRPr="00893072" w14:paraId="6B4513A7" w14:textId="77777777" w:rsidTr="00EC408F">
        <w:trPr>
          <w:trHeight w:val="300"/>
          <w:jc w:val="center"/>
        </w:trPr>
        <w:tc>
          <w:tcPr>
            <w:tcW w:w="2835" w:type="dxa"/>
            <w:tcBorders>
              <w:top w:val="nil"/>
              <w:left w:val="nil"/>
            </w:tcBorders>
            <w:shd w:val="clear" w:color="auto" w:fill="auto"/>
            <w:noWrap/>
            <w:vAlign w:val="center"/>
            <w:hideMark/>
          </w:tcPr>
          <w:p w14:paraId="66F1DD14"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+ 30%</w:t>
            </w:r>
          </w:p>
        </w:tc>
        <w:tc>
          <w:tcPr>
            <w:tcW w:w="1701" w:type="dxa"/>
            <w:tcBorders>
              <w:top w:val="nil"/>
            </w:tcBorders>
            <w:shd w:val="clear" w:color="auto" w:fill="auto"/>
            <w:noWrap/>
            <w:vAlign w:val="center"/>
            <w:hideMark/>
          </w:tcPr>
          <w:p w14:paraId="67BB301D"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-0.85</w:t>
            </w:r>
          </w:p>
        </w:tc>
        <w:tc>
          <w:tcPr>
            <w:tcW w:w="1843" w:type="dxa"/>
            <w:tcBorders>
              <w:top w:val="nil"/>
            </w:tcBorders>
            <w:shd w:val="clear" w:color="auto" w:fill="auto"/>
            <w:noWrap/>
            <w:vAlign w:val="center"/>
            <w:hideMark/>
          </w:tcPr>
          <w:p w14:paraId="1331BF4D"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0.60</w:t>
            </w:r>
          </w:p>
        </w:tc>
        <w:tc>
          <w:tcPr>
            <w:tcW w:w="1701" w:type="dxa"/>
            <w:tcBorders>
              <w:top w:val="nil"/>
            </w:tcBorders>
            <w:shd w:val="clear" w:color="auto" w:fill="auto"/>
            <w:noWrap/>
            <w:vAlign w:val="center"/>
            <w:hideMark/>
          </w:tcPr>
          <w:p w14:paraId="76849CA0"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0.05</w:t>
            </w:r>
          </w:p>
        </w:tc>
        <w:tc>
          <w:tcPr>
            <w:tcW w:w="1843" w:type="dxa"/>
            <w:tcBorders>
              <w:top w:val="nil"/>
            </w:tcBorders>
            <w:shd w:val="clear" w:color="auto" w:fill="auto"/>
            <w:noWrap/>
            <w:vAlign w:val="center"/>
            <w:hideMark/>
          </w:tcPr>
          <w:p w14:paraId="5879940B"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-0.61</w:t>
            </w:r>
          </w:p>
        </w:tc>
        <w:tc>
          <w:tcPr>
            <w:tcW w:w="1701" w:type="dxa"/>
            <w:tcBorders>
              <w:top w:val="nil"/>
            </w:tcBorders>
            <w:shd w:val="clear" w:color="auto" w:fill="auto"/>
            <w:noWrap/>
            <w:vAlign w:val="center"/>
            <w:hideMark/>
          </w:tcPr>
          <w:p w14:paraId="4B3155D1"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0.90</w:t>
            </w:r>
          </w:p>
        </w:tc>
        <w:tc>
          <w:tcPr>
            <w:tcW w:w="1701" w:type="dxa"/>
            <w:tcBorders>
              <w:top w:val="nil"/>
              <w:right w:val="nil"/>
            </w:tcBorders>
            <w:shd w:val="clear" w:color="auto" w:fill="auto"/>
            <w:noWrap/>
            <w:vAlign w:val="center"/>
            <w:hideMark/>
          </w:tcPr>
          <w:p w14:paraId="3EB61B60"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-1.21</w:t>
            </w:r>
          </w:p>
        </w:tc>
      </w:tr>
      <w:tr w:rsidR="00893072" w:rsidRPr="00893072" w14:paraId="6CF3DF55" w14:textId="77777777" w:rsidTr="00EC408F">
        <w:trPr>
          <w:trHeight w:val="300"/>
          <w:jc w:val="center"/>
        </w:trPr>
        <w:tc>
          <w:tcPr>
            <w:tcW w:w="2835" w:type="dxa"/>
            <w:tcBorders>
              <w:top w:val="nil"/>
              <w:left w:val="nil"/>
            </w:tcBorders>
            <w:shd w:val="clear" w:color="auto" w:fill="auto"/>
            <w:noWrap/>
            <w:vAlign w:val="center"/>
            <w:hideMark/>
          </w:tcPr>
          <w:p w14:paraId="540FEF71"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+50%</w:t>
            </w:r>
          </w:p>
        </w:tc>
        <w:tc>
          <w:tcPr>
            <w:tcW w:w="1701" w:type="dxa"/>
            <w:tcBorders>
              <w:top w:val="nil"/>
            </w:tcBorders>
            <w:shd w:val="clear" w:color="auto" w:fill="auto"/>
            <w:noWrap/>
            <w:vAlign w:val="center"/>
            <w:hideMark/>
          </w:tcPr>
          <w:p w14:paraId="0261B2F9"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-0.02</w:t>
            </w:r>
          </w:p>
        </w:tc>
        <w:tc>
          <w:tcPr>
            <w:tcW w:w="1843" w:type="dxa"/>
            <w:tcBorders>
              <w:top w:val="nil"/>
            </w:tcBorders>
            <w:shd w:val="clear" w:color="auto" w:fill="auto"/>
            <w:noWrap/>
            <w:vAlign w:val="center"/>
            <w:hideMark/>
          </w:tcPr>
          <w:p w14:paraId="791BA3AA"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-0.84</w:t>
            </w:r>
          </w:p>
        </w:tc>
        <w:tc>
          <w:tcPr>
            <w:tcW w:w="1701" w:type="dxa"/>
            <w:tcBorders>
              <w:top w:val="nil"/>
            </w:tcBorders>
            <w:shd w:val="clear" w:color="auto" w:fill="auto"/>
            <w:noWrap/>
            <w:vAlign w:val="center"/>
            <w:hideMark/>
          </w:tcPr>
          <w:p w14:paraId="3462AD38"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0.03</w:t>
            </w:r>
          </w:p>
        </w:tc>
        <w:tc>
          <w:tcPr>
            <w:tcW w:w="1843" w:type="dxa"/>
            <w:tcBorders>
              <w:top w:val="nil"/>
            </w:tcBorders>
            <w:shd w:val="clear" w:color="auto" w:fill="auto"/>
            <w:noWrap/>
            <w:vAlign w:val="center"/>
            <w:hideMark/>
          </w:tcPr>
          <w:p w14:paraId="489BFC82"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-0.29</w:t>
            </w:r>
          </w:p>
        </w:tc>
        <w:tc>
          <w:tcPr>
            <w:tcW w:w="1701" w:type="dxa"/>
            <w:tcBorders>
              <w:top w:val="nil"/>
            </w:tcBorders>
            <w:shd w:val="clear" w:color="auto" w:fill="auto"/>
            <w:noWrap/>
            <w:vAlign w:val="center"/>
            <w:hideMark/>
          </w:tcPr>
          <w:p w14:paraId="2332E5CA"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0.05</w:t>
            </w:r>
          </w:p>
        </w:tc>
        <w:tc>
          <w:tcPr>
            <w:tcW w:w="1701" w:type="dxa"/>
            <w:tcBorders>
              <w:top w:val="nil"/>
              <w:right w:val="nil"/>
            </w:tcBorders>
            <w:shd w:val="clear" w:color="auto" w:fill="auto"/>
            <w:noWrap/>
            <w:vAlign w:val="center"/>
            <w:hideMark/>
          </w:tcPr>
          <w:p w14:paraId="72A632B3"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eastAsia="等线" w:hAnsi="Myriad Pro"/>
                <w:color w:val="000000" w:themeColor="text1"/>
                <w:szCs w:val="21"/>
              </w:rPr>
              <w:t>0.55</w:t>
            </w:r>
          </w:p>
        </w:tc>
      </w:tr>
      <w:tr w:rsidR="00893072" w:rsidRPr="00893072" w14:paraId="0540B58F" w14:textId="77777777" w:rsidTr="00EC408F">
        <w:trPr>
          <w:trHeight w:val="300"/>
          <w:jc w:val="center"/>
        </w:trPr>
        <w:tc>
          <w:tcPr>
            <w:tcW w:w="2835" w:type="dxa"/>
            <w:tcBorders>
              <w:top w:val="nil"/>
              <w:left w:val="nil"/>
            </w:tcBorders>
            <w:shd w:val="clear" w:color="auto" w:fill="auto"/>
            <w:noWrap/>
          </w:tcPr>
          <w:p w14:paraId="62CBA5B4"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szCs w:val="21"/>
                <w:vertAlign w:val="superscript"/>
              </w:rPr>
              <w:t>d</w:t>
            </w:r>
            <w:r w:rsidRPr="00893072">
              <w:rPr>
                <w:rFonts w:ascii="Myriad Pro" w:hAnsi="Myriad Pro"/>
                <w:color w:val="000000" w:themeColor="text1"/>
                <w:szCs w:val="21"/>
              </w:rPr>
              <w:t>-50% - original discharge</w:t>
            </w:r>
          </w:p>
        </w:tc>
        <w:tc>
          <w:tcPr>
            <w:tcW w:w="1701" w:type="dxa"/>
            <w:tcBorders>
              <w:top w:val="nil"/>
            </w:tcBorders>
            <w:shd w:val="clear" w:color="auto" w:fill="auto"/>
            <w:noWrap/>
          </w:tcPr>
          <w:p w14:paraId="39A0E4E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2.70 </w:t>
            </w:r>
          </w:p>
        </w:tc>
        <w:tc>
          <w:tcPr>
            <w:tcW w:w="1843" w:type="dxa"/>
            <w:tcBorders>
              <w:top w:val="nil"/>
            </w:tcBorders>
            <w:shd w:val="clear" w:color="auto" w:fill="auto"/>
            <w:noWrap/>
          </w:tcPr>
          <w:p w14:paraId="6C7A24B8"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-7.45 </w:t>
            </w:r>
          </w:p>
        </w:tc>
        <w:tc>
          <w:tcPr>
            <w:tcW w:w="1701" w:type="dxa"/>
            <w:tcBorders>
              <w:top w:val="nil"/>
            </w:tcBorders>
            <w:shd w:val="clear" w:color="auto" w:fill="auto"/>
            <w:noWrap/>
          </w:tcPr>
          <w:p w14:paraId="24DF8687"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2.69 </w:t>
            </w:r>
          </w:p>
        </w:tc>
        <w:tc>
          <w:tcPr>
            <w:tcW w:w="1843" w:type="dxa"/>
            <w:tcBorders>
              <w:top w:val="nil"/>
            </w:tcBorders>
            <w:shd w:val="clear" w:color="auto" w:fill="auto"/>
            <w:noWrap/>
          </w:tcPr>
          <w:p w14:paraId="2E38C13C"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-2.07 </w:t>
            </w:r>
          </w:p>
        </w:tc>
        <w:tc>
          <w:tcPr>
            <w:tcW w:w="1701" w:type="dxa"/>
            <w:tcBorders>
              <w:top w:val="nil"/>
            </w:tcBorders>
            <w:shd w:val="clear" w:color="auto" w:fill="auto"/>
            <w:noWrap/>
          </w:tcPr>
          <w:p w14:paraId="5259EC9E"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-0.02 </w:t>
            </w:r>
          </w:p>
        </w:tc>
        <w:tc>
          <w:tcPr>
            <w:tcW w:w="1701" w:type="dxa"/>
            <w:tcBorders>
              <w:top w:val="nil"/>
              <w:right w:val="nil"/>
            </w:tcBorders>
            <w:shd w:val="clear" w:color="auto" w:fill="auto"/>
            <w:noWrap/>
          </w:tcPr>
          <w:p w14:paraId="5ED750B9"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5.39 </w:t>
            </w:r>
          </w:p>
        </w:tc>
      </w:tr>
      <w:tr w:rsidR="00893072" w:rsidRPr="00893072" w14:paraId="70B4DE46" w14:textId="77777777" w:rsidTr="00EC408F">
        <w:trPr>
          <w:trHeight w:val="300"/>
          <w:jc w:val="center"/>
        </w:trPr>
        <w:tc>
          <w:tcPr>
            <w:tcW w:w="2835" w:type="dxa"/>
            <w:tcBorders>
              <w:top w:val="nil"/>
              <w:left w:val="nil"/>
            </w:tcBorders>
            <w:shd w:val="clear" w:color="auto" w:fill="auto"/>
            <w:noWrap/>
          </w:tcPr>
          <w:p w14:paraId="1E81D517"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szCs w:val="21"/>
                <w:vertAlign w:val="superscript"/>
              </w:rPr>
              <w:t>d</w:t>
            </w:r>
            <w:r w:rsidRPr="00893072">
              <w:rPr>
                <w:rFonts w:ascii="Myriad Pro" w:hAnsi="Myriad Pro"/>
                <w:color w:val="000000" w:themeColor="text1"/>
                <w:szCs w:val="21"/>
              </w:rPr>
              <w:t>-30% - original discharge</w:t>
            </w:r>
          </w:p>
        </w:tc>
        <w:tc>
          <w:tcPr>
            <w:tcW w:w="1701" w:type="dxa"/>
            <w:tcBorders>
              <w:top w:val="nil"/>
            </w:tcBorders>
            <w:shd w:val="clear" w:color="auto" w:fill="auto"/>
            <w:noWrap/>
          </w:tcPr>
          <w:p w14:paraId="75D89849"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0.01 </w:t>
            </w:r>
          </w:p>
        </w:tc>
        <w:tc>
          <w:tcPr>
            <w:tcW w:w="1843" w:type="dxa"/>
            <w:tcBorders>
              <w:top w:val="nil"/>
            </w:tcBorders>
            <w:shd w:val="clear" w:color="auto" w:fill="auto"/>
            <w:noWrap/>
          </w:tcPr>
          <w:p w14:paraId="11572CEC"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-5.12 </w:t>
            </w:r>
          </w:p>
        </w:tc>
        <w:tc>
          <w:tcPr>
            <w:tcW w:w="1701" w:type="dxa"/>
            <w:tcBorders>
              <w:top w:val="nil"/>
            </w:tcBorders>
            <w:shd w:val="clear" w:color="auto" w:fill="auto"/>
            <w:noWrap/>
          </w:tcPr>
          <w:p w14:paraId="58630BB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0.12 </w:t>
            </w:r>
          </w:p>
        </w:tc>
        <w:tc>
          <w:tcPr>
            <w:tcW w:w="1843" w:type="dxa"/>
            <w:tcBorders>
              <w:top w:val="nil"/>
            </w:tcBorders>
            <w:shd w:val="clear" w:color="auto" w:fill="auto"/>
            <w:noWrap/>
          </w:tcPr>
          <w:p w14:paraId="6AC524E0"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-3.12 </w:t>
            </w:r>
          </w:p>
        </w:tc>
        <w:tc>
          <w:tcPr>
            <w:tcW w:w="1701" w:type="dxa"/>
            <w:tcBorders>
              <w:top w:val="nil"/>
            </w:tcBorders>
            <w:shd w:val="clear" w:color="auto" w:fill="auto"/>
            <w:noWrap/>
          </w:tcPr>
          <w:p w14:paraId="2824847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0.11 </w:t>
            </w:r>
          </w:p>
        </w:tc>
        <w:tc>
          <w:tcPr>
            <w:tcW w:w="1701" w:type="dxa"/>
            <w:tcBorders>
              <w:top w:val="nil"/>
              <w:right w:val="nil"/>
            </w:tcBorders>
            <w:shd w:val="clear" w:color="auto" w:fill="auto"/>
            <w:noWrap/>
          </w:tcPr>
          <w:p w14:paraId="1BFA69AD"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2.00 </w:t>
            </w:r>
          </w:p>
        </w:tc>
      </w:tr>
      <w:tr w:rsidR="00893072" w:rsidRPr="00893072" w14:paraId="28FF9075" w14:textId="77777777" w:rsidTr="00EC408F">
        <w:trPr>
          <w:trHeight w:val="300"/>
          <w:jc w:val="center"/>
        </w:trPr>
        <w:tc>
          <w:tcPr>
            <w:tcW w:w="2835" w:type="dxa"/>
            <w:tcBorders>
              <w:top w:val="nil"/>
              <w:left w:val="nil"/>
            </w:tcBorders>
            <w:shd w:val="clear" w:color="auto" w:fill="auto"/>
            <w:noWrap/>
          </w:tcPr>
          <w:p w14:paraId="65C007C2"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szCs w:val="21"/>
                <w:vertAlign w:val="superscript"/>
              </w:rPr>
              <w:t>d</w:t>
            </w:r>
            <w:r w:rsidRPr="00893072">
              <w:rPr>
                <w:rFonts w:ascii="Myriad Pro" w:hAnsi="Myriad Pro"/>
                <w:color w:val="000000" w:themeColor="text1"/>
                <w:szCs w:val="21"/>
              </w:rPr>
              <w:t>-10% - original discharge</w:t>
            </w:r>
          </w:p>
        </w:tc>
        <w:tc>
          <w:tcPr>
            <w:tcW w:w="1701" w:type="dxa"/>
            <w:tcBorders>
              <w:top w:val="nil"/>
            </w:tcBorders>
            <w:shd w:val="clear" w:color="auto" w:fill="auto"/>
            <w:noWrap/>
          </w:tcPr>
          <w:p w14:paraId="12F67FB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0.02 </w:t>
            </w:r>
          </w:p>
        </w:tc>
        <w:tc>
          <w:tcPr>
            <w:tcW w:w="1843" w:type="dxa"/>
            <w:tcBorders>
              <w:top w:val="nil"/>
            </w:tcBorders>
            <w:shd w:val="clear" w:color="auto" w:fill="auto"/>
            <w:noWrap/>
          </w:tcPr>
          <w:p w14:paraId="158E219E"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-3.30 </w:t>
            </w:r>
          </w:p>
        </w:tc>
        <w:tc>
          <w:tcPr>
            <w:tcW w:w="1701" w:type="dxa"/>
            <w:tcBorders>
              <w:top w:val="nil"/>
            </w:tcBorders>
            <w:shd w:val="clear" w:color="auto" w:fill="auto"/>
            <w:noWrap/>
          </w:tcPr>
          <w:p w14:paraId="08AC5C3B"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0.07 </w:t>
            </w:r>
          </w:p>
        </w:tc>
        <w:tc>
          <w:tcPr>
            <w:tcW w:w="1843" w:type="dxa"/>
            <w:tcBorders>
              <w:top w:val="nil"/>
            </w:tcBorders>
            <w:shd w:val="clear" w:color="auto" w:fill="auto"/>
            <w:noWrap/>
          </w:tcPr>
          <w:p w14:paraId="575AEEE4"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-3.26 </w:t>
            </w:r>
          </w:p>
        </w:tc>
        <w:tc>
          <w:tcPr>
            <w:tcW w:w="1701" w:type="dxa"/>
            <w:tcBorders>
              <w:top w:val="nil"/>
            </w:tcBorders>
            <w:shd w:val="clear" w:color="auto" w:fill="auto"/>
            <w:noWrap/>
          </w:tcPr>
          <w:p w14:paraId="568B8827"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0.06 </w:t>
            </w:r>
          </w:p>
        </w:tc>
        <w:tc>
          <w:tcPr>
            <w:tcW w:w="1701" w:type="dxa"/>
            <w:tcBorders>
              <w:top w:val="nil"/>
              <w:right w:val="nil"/>
            </w:tcBorders>
            <w:shd w:val="clear" w:color="auto" w:fill="auto"/>
            <w:noWrap/>
          </w:tcPr>
          <w:p w14:paraId="41F32C84"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0.05 </w:t>
            </w:r>
          </w:p>
        </w:tc>
      </w:tr>
      <w:tr w:rsidR="00893072" w:rsidRPr="00893072" w14:paraId="1A9B0DC0" w14:textId="77777777" w:rsidTr="00EC408F">
        <w:trPr>
          <w:trHeight w:val="300"/>
          <w:jc w:val="center"/>
        </w:trPr>
        <w:tc>
          <w:tcPr>
            <w:tcW w:w="2835" w:type="dxa"/>
            <w:tcBorders>
              <w:top w:val="nil"/>
              <w:left w:val="nil"/>
            </w:tcBorders>
            <w:shd w:val="clear" w:color="auto" w:fill="auto"/>
            <w:noWrap/>
          </w:tcPr>
          <w:p w14:paraId="6F559D6F"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szCs w:val="21"/>
                <w:vertAlign w:val="superscript"/>
              </w:rPr>
              <w:t>d</w:t>
            </w:r>
            <w:r w:rsidRPr="00893072">
              <w:rPr>
                <w:rFonts w:ascii="Myriad Pro" w:hAnsi="Myriad Pro"/>
                <w:color w:val="000000" w:themeColor="text1"/>
                <w:szCs w:val="21"/>
              </w:rPr>
              <w:t>+10% - original discharge</w:t>
            </w:r>
          </w:p>
        </w:tc>
        <w:tc>
          <w:tcPr>
            <w:tcW w:w="1701" w:type="dxa"/>
            <w:tcBorders>
              <w:top w:val="nil"/>
            </w:tcBorders>
            <w:shd w:val="clear" w:color="auto" w:fill="auto"/>
            <w:noWrap/>
          </w:tcPr>
          <w:p w14:paraId="4285AFB9"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-0.11 </w:t>
            </w:r>
          </w:p>
        </w:tc>
        <w:tc>
          <w:tcPr>
            <w:tcW w:w="1843" w:type="dxa"/>
            <w:tcBorders>
              <w:top w:val="nil"/>
            </w:tcBorders>
            <w:shd w:val="clear" w:color="auto" w:fill="auto"/>
            <w:noWrap/>
          </w:tcPr>
          <w:p w14:paraId="1DB3248D"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-2.85 </w:t>
            </w:r>
          </w:p>
        </w:tc>
        <w:tc>
          <w:tcPr>
            <w:tcW w:w="1701" w:type="dxa"/>
            <w:tcBorders>
              <w:top w:val="nil"/>
            </w:tcBorders>
            <w:shd w:val="clear" w:color="auto" w:fill="auto"/>
            <w:noWrap/>
          </w:tcPr>
          <w:p w14:paraId="7C8DEE9D"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0.03 </w:t>
            </w:r>
          </w:p>
        </w:tc>
        <w:tc>
          <w:tcPr>
            <w:tcW w:w="1843" w:type="dxa"/>
            <w:tcBorders>
              <w:top w:val="nil"/>
            </w:tcBorders>
            <w:shd w:val="clear" w:color="auto" w:fill="auto"/>
            <w:noWrap/>
          </w:tcPr>
          <w:p w14:paraId="6C08027B"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-2.47 </w:t>
            </w:r>
          </w:p>
        </w:tc>
        <w:tc>
          <w:tcPr>
            <w:tcW w:w="1701" w:type="dxa"/>
            <w:tcBorders>
              <w:top w:val="nil"/>
            </w:tcBorders>
            <w:shd w:val="clear" w:color="auto" w:fill="auto"/>
            <w:noWrap/>
          </w:tcPr>
          <w:p w14:paraId="0A5415DC"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0.14 </w:t>
            </w:r>
          </w:p>
        </w:tc>
        <w:tc>
          <w:tcPr>
            <w:tcW w:w="1701" w:type="dxa"/>
            <w:tcBorders>
              <w:top w:val="nil"/>
              <w:right w:val="nil"/>
            </w:tcBorders>
            <w:shd w:val="clear" w:color="auto" w:fill="auto"/>
            <w:noWrap/>
          </w:tcPr>
          <w:p w14:paraId="56D73F0F"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0.38 </w:t>
            </w:r>
          </w:p>
        </w:tc>
      </w:tr>
      <w:tr w:rsidR="00893072" w:rsidRPr="00893072" w14:paraId="46AEC599" w14:textId="77777777" w:rsidTr="00EC408F">
        <w:trPr>
          <w:trHeight w:val="300"/>
          <w:jc w:val="center"/>
        </w:trPr>
        <w:tc>
          <w:tcPr>
            <w:tcW w:w="2835" w:type="dxa"/>
            <w:tcBorders>
              <w:top w:val="nil"/>
              <w:left w:val="nil"/>
            </w:tcBorders>
            <w:shd w:val="clear" w:color="auto" w:fill="auto"/>
            <w:noWrap/>
          </w:tcPr>
          <w:p w14:paraId="496B366C"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szCs w:val="21"/>
                <w:vertAlign w:val="superscript"/>
              </w:rPr>
              <w:t>d</w:t>
            </w:r>
            <w:r w:rsidRPr="00893072">
              <w:rPr>
                <w:rFonts w:ascii="Myriad Pro" w:hAnsi="Myriad Pro"/>
                <w:color w:val="000000" w:themeColor="text1"/>
                <w:szCs w:val="21"/>
              </w:rPr>
              <w:t>+30% - original discharge</w:t>
            </w:r>
          </w:p>
        </w:tc>
        <w:tc>
          <w:tcPr>
            <w:tcW w:w="1701" w:type="dxa"/>
            <w:tcBorders>
              <w:top w:val="nil"/>
            </w:tcBorders>
            <w:shd w:val="clear" w:color="auto" w:fill="auto"/>
            <w:noWrap/>
          </w:tcPr>
          <w:p w14:paraId="3113A580"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-0.88 </w:t>
            </w:r>
          </w:p>
        </w:tc>
        <w:tc>
          <w:tcPr>
            <w:tcW w:w="1843" w:type="dxa"/>
            <w:tcBorders>
              <w:top w:val="nil"/>
            </w:tcBorders>
            <w:shd w:val="clear" w:color="auto" w:fill="auto"/>
            <w:noWrap/>
          </w:tcPr>
          <w:p w14:paraId="59C0F84A"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-3.31 </w:t>
            </w:r>
          </w:p>
        </w:tc>
        <w:tc>
          <w:tcPr>
            <w:tcW w:w="1701" w:type="dxa"/>
            <w:tcBorders>
              <w:top w:val="nil"/>
            </w:tcBorders>
            <w:shd w:val="clear" w:color="auto" w:fill="auto"/>
            <w:noWrap/>
          </w:tcPr>
          <w:p w14:paraId="5B02121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0.10 </w:t>
            </w:r>
          </w:p>
        </w:tc>
        <w:tc>
          <w:tcPr>
            <w:tcW w:w="1843" w:type="dxa"/>
            <w:tcBorders>
              <w:top w:val="nil"/>
            </w:tcBorders>
            <w:shd w:val="clear" w:color="auto" w:fill="auto"/>
            <w:noWrap/>
          </w:tcPr>
          <w:p w14:paraId="797CC2B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-2.80 </w:t>
            </w:r>
          </w:p>
        </w:tc>
        <w:tc>
          <w:tcPr>
            <w:tcW w:w="1701" w:type="dxa"/>
            <w:tcBorders>
              <w:top w:val="nil"/>
            </w:tcBorders>
            <w:shd w:val="clear" w:color="auto" w:fill="auto"/>
            <w:noWrap/>
          </w:tcPr>
          <w:p w14:paraId="4246AF7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0.99 </w:t>
            </w:r>
          </w:p>
        </w:tc>
        <w:tc>
          <w:tcPr>
            <w:tcW w:w="1701" w:type="dxa"/>
            <w:tcBorders>
              <w:top w:val="nil"/>
              <w:right w:val="nil"/>
            </w:tcBorders>
            <w:shd w:val="clear" w:color="auto" w:fill="auto"/>
            <w:noWrap/>
          </w:tcPr>
          <w:p w14:paraId="2CC618B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0.51 </w:t>
            </w:r>
          </w:p>
        </w:tc>
      </w:tr>
      <w:tr w:rsidR="00893072" w:rsidRPr="00893072" w14:paraId="567C610A" w14:textId="77777777" w:rsidTr="00EC408F">
        <w:trPr>
          <w:trHeight w:val="300"/>
          <w:jc w:val="center"/>
        </w:trPr>
        <w:tc>
          <w:tcPr>
            <w:tcW w:w="2835" w:type="dxa"/>
            <w:tcBorders>
              <w:top w:val="nil"/>
              <w:left w:val="nil"/>
            </w:tcBorders>
            <w:shd w:val="clear" w:color="auto" w:fill="auto"/>
            <w:noWrap/>
          </w:tcPr>
          <w:p w14:paraId="39DF635C"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szCs w:val="21"/>
                <w:vertAlign w:val="superscript"/>
              </w:rPr>
              <w:t>d</w:t>
            </w:r>
            <w:r w:rsidRPr="00893072">
              <w:rPr>
                <w:rFonts w:ascii="Myriad Pro" w:hAnsi="Myriad Pro"/>
                <w:color w:val="000000" w:themeColor="text1"/>
                <w:szCs w:val="21"/>
              </w:rPr>
              <w:t xml:space="preserve"> +50% - original discharge</w:t>
            </w:r>
          </w:p>
        </w:tc>
        <w:tc>
          <w:tcPr>
            <w:tcW w:w="1701" w:type="dxa"/>
            <w:tcBorders>
              <w:top w:val="nil"/>
            </w:tcBorders>
            <w:shd w:val="clear" w:color="auto" w:fill="auto"/>
            <w:noWrap/>
          </w:tcPr>
          <w:p w14:paraId="49F3A60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-0.05 </w:t>
            </w:r>
          </w:p>
        </w:tc>
        <w:tc>
          <w:tcPr>
            <w:tcW w:w="1843" w:type="dxa"/>
            <w:tcBorders>
              <w:top w:val="nil"/>
            </w:tcBorders>
            <w:shd w:val="clear" w:color="auto" w:fill="auto"/>
            <w:noWrap/>
          </w:tcPr>
          <w:p w14:paraId="233519B6"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-4.76 </w:t>
            </w:r>
          </w:p>
        </w:tc>
        <w:tc>
          <w:tcPr>
            <w:tcW w:w="1701" w:type="dxa"/>
            <w:tcBorders>
              <w:top w:val="nil"/>
            </w:tcBorders>
            <w:shd w:val="clear" w:color="auto" w:fill="auto"/>
            <w:noWrap/>
          </w:tcPr>
          <w:p w14:paraId="47281350"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0.08 </w:t>
            </w:r>
          </w:p>
        </w:tc>
        <w:tc>
          <w:tcPr>
            <w:tcW w:w="1843" w:type="dxa"/>
            <w:tcBorders>
              <w:top w:val="nil"/>
            </w:tcBorders>
            <w:shd w:val="clear" w:color="auto" w:fill="auto"/>
            <w:noWrap/>
          </w:tcPr>
          <w:p w14:paraId="6779C6BE"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-2.48 </w:t>
            </w:r>
          </w:p>
        </w:tc>
        <w:tc>
          <w:tcPr>
            <w:tcW w:w="1701" w:type="dxa"/>
            <w:tcBorders>
              <w:top w:val="nil"/>
            </w:tcBorders>
            <w:shd w:val="clear" w:color="auto" w:fill="auto"/>
            <w:noWrap/>
          </w:tcPr>
          <w:p w14:paraId="45CA4954"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0.13 </w:t>
            </w:r>
          </w:p>
        </w:tc>
        <w:tc>
          <w:tcPr>
            <w:tcW w:w="1701" w:type="dxa"/>
            <w:tcBorders>
              <w:top w:val="nil"/>
              <w:right w:val="nil"/>
            </w:tcBorders>
            <w:shd w:val="clear" w:color="auto" w:fill="auto"/>
            <w:noWrap/>
          </w:tcPr>
          <w:p w14:paraId="7C6C0157" w14:textId="77777777" w:rsidR="00893072" w:rsidRPr="00893072" w:rsidRDefault="00893072" w:rsidP="00EC408F">
            <w:pPr>
              <w:jc w:val="center"/>
              <w:rPr>
                <w:rFonts w:ascii="Myriad Pro" w:eastAsia="等线" w:hAnsi="Myriad Pro"/>
                <w:color w:val="000000" w:themeColor="text1"/>
                <w:szCs w:val="21"/>
              </w:rPr>
            </w:pPr>
            <w:r w:rsidRPr="00893072">
              <w:rPr>
                <w:rFonts w:ascii="Myriad Pro" w:hAnsi="Myriad Pro"/>
                <w:color w:val="000000" w:themeColor="text1"/>
              </w:rPr>
              <w:t xml:space="preserve">2.27 </w:t>
            </w:r>
          </w:p>
        </w:tc>
      </w:tr>
      <w:tr w:rsidR="00893072" w:rsidRPr="00893072" w14:paraId="29B0FE90" w14:textId="77777777" w:rsidTr="00EC408F">
        <w:trPr>
          <w:trHeight w:val="300"/>
          <w:jc w:val="center"/>
        </w:trPr>
        <w:tc>
          <w:tcPr>
            <w:tcW w:w="13325" w:type="dxa"/>
            <w:gridSpan w:val="7"/>
            <w:tcBorders>
              <w:top w:val="single" w:sz="4" w:space="0" w:color="auto"/>
              <w:left w:val="nil"/>
              <w:right w:val="nil"/>
            </w:tcBorders>
            <w:shd w:val="clear" w:color="auto" w:fill="auto"/>
            <w:noWrap/>
            <w:vAlign w:val="center"/>
          </w:tcPr>
          <w:p w14:paraId="7CA38EFA" w14:textId="77777777" w:rsidR="00893072" w:rsidRPr="00893072" w:rsidRDefault="00893072" w:rsidP="00EC408F">
            <w:pPr>
              <w:rPr>
                <w:rFonts w:ascii="Myriad Pro" w:eastAsia="等线" w:hAnsi="Myriad Pro"/>
                <w:color w:val="000000" w:themeColor="text1"/>
                <w:szCs w:val="21"/>
              </w:rPr>
            </w:pPr>
            <w:proofErr w:type="spellStart"/>
            <w:r w:rsidRPr="00893072">
              <w:rPr>
                <w:rFonts w:ascii="Myriad Pro" w:eastAsia="等线" w:hAnsi="Myriad Pro"/>
                <w:color w:val="000000" w:themeColor="text1"/>
                <w:szCs w:val="21"/>
                <w:vertAlign w:val="superscript"/>
              </w:rPr>
              <w:t>a</w:t>
            </w:r>
            <w:r w:rsidRPr="00893072">
              <w:rPr>
                <w:rFonts w:ascii="Myriad Pro" w:eastAsia="等线" w:hAnsi="Myriad Pro"/>
                <w:color w:val="000000" w:themeColor="text1"/>
                <w:szCs w:val="21"/>
              </w:rPr>
              <w:t>the</w:t>
            </w:r>
            <w:proofErr w:type="spellEnd"/>
            <w:r w:rsidRPr="00893072">
              <w:rPr>
                <w:rFonts w:ascii="Myriad Pro" w:eastAsia="等线" w:hAnsi="Myriad Pro"/>
                <w:color w:val="000000" w:themeColor="text1"/>
                <w:szCs w:val="21"/>
              </w:rPr>
              <w:t xml:space="preserve"> difference between RCP6.0-1.5°C and Historical period; </w:t>
            </w:r>
            <w:proofErr w:type="spellStart"/>
            <w:r w:rsidRPr="00893072">
              <w:rPr>
                <w:rFonts w:ascii="Myriad Pro" w:eastAsia="等线" w:hAnsi="Myriad Pro"/>
                <w:color w:val="000000" w:themeColor="text1"/>
                <w:szCs w:val="21"/>
                <w:vertAlign w:val="superscript"/>
              </w:rPr>
              <w:t>b</w:t>
            </w:r>
            <w:r w:rsidRPr="00893072">
              <w:rPr>
                <w:rFonts w:ascii="Myriad Pro" w:eastAsia="等线" w:hAnsi="Myriad Pro"/>
                <w:color w:val="000000" w:themeColor="text1"/>
                <w:szCs w:val="21"/>
              </w:rPr>
              <w:t>the</w:t>
            </w:r>
            <w:proofErr w:type="spellEnd"/>
            <w:r w:rsidRPr="00893072">
              <w:rPr>
                <w:rFonts w:ascii="Myriad Pro" w:eastAsia="等线" w:hAnsi="Myriad Pro"/>
                <w:color w:val="000000" w:themeColor="text1"/>
                <w:szCs w:val="21"/>
              </w:rPr>
              <w:t xml:space="preserve"> difference between RCP6.0-1.5°C and Historical </w:t>
            </w:r>
            <w:proofErr w:type="spellStart"/>
            <w:proofErr w:type="gramStart"/>
            <w:r w:rsidRPr="00893072">
              <w:rPr>
                <w:rFonts w:ascii="Myriad Pro" w:eastAsia="等线" w:hAnsi="Myriad Pro"/>
                <w:color w:val="000000" w:themeColor="text1"/>
                <w:szCs w:val="21"/>
              </w:rPr>
              <w:t>period;</w:t>
            </w:r>
            <w:r w:rsidRPr="00893072">
              <w:rPr>
                <w:rFonts w:ascii="Myriad Pro" w:eastAsia="等线" w:hAnsi="Myriad Pro"/>
                <w:color w:val="000000" w:themeColor="text1"/>
                <w:szCs w:val="21"/>
                <w:vertAlign w:val="superscript"/>
              </w:rPr>
              <w:t>c</w:t>
            </w:r>
            <w:r w:rsidRPr="00893072">
              <w:rPr>
                <w:rFonts w:ascii="Myriad Pro" w:eastAsia="等线" w:hAnsi="Myriad Pro"/>
                <w:color w:val="000000" w:themeColor="text1"/>
                <w:szCs w:val="21"/>
              </w:rPr>
              <w:t>the</w:t>
            </w:r>
            <w:proofErr w:type="spellEnd"/>
            <w:proofErr w:type="gramEnd"/>
            <w:r w:rsidRPr="00893072">
              <w:rPr>
                <w:rFonts w:ascii="Myriad Pro" w:eastAsia="等线" w:hAnsi="Myriad Pro"/>
                <w:color w:val="000000" w:themeColor="text1"/>
                <w:szCs w:val="21"/>
              </w:rPr>
              <w:t xml:space="preserve"> difference between RCP6.0-2°C and RCP6.0-1.5°C; </w:t>
            </w:r>
            <w:proofErr w:type="spellStart"/>
            <w:r w:rsidRPr="00893072">
              <w:rPr>
                <w:rFonts w:ascii="Myriad Pro" w:eastAsia="等线" w:hAnsi="Myriad Pro"/>
                <w:color w:val="000000" w:themeColor="text1"/>
                <w:szCs w:val="21"/>
                <w:vertAlign w:val="superscript"/>
              </w:rPr>
              <w:t>d</w:t>
            </w:r>
            <w:r w:rsidRPr="00893072">
              <w:rPr>
                <w:rFonts w:ascii="Myriad Pro" w:eastAsia="等线" w:hAnsi="Myriad Pro"/>
                <w:color w:val="000000" w:themeColor="text1"/>
                <w:szCs w:val="21"/>
              </w:rPr>
              <w:t>the</w:t>
            </w:r>
            <w:proofErr w:type="spellEnd"/>
            <w:r w:rsidRPr="00893072">
              <w:rPr>
                <w:rFonts w:ascii="Myriad Pro" w:eastAsia="等线" w:hAnsi="Myriad Pro"/>
                <w:color w:val="000000" w:themeColor="text1"/>
                <w:szCs w:val="21"/>
              </w:rPr>
              <w:t xml:space="preserve"> difference between discharge variation and original discharge.</w:t>
            </w:r>
          </w:p>
        </w:tc>
      </w:tr>
    </w:tbl>
    <w:p w14:paraId="55ED2BD2" w14:textId="77777777" w:rsidR="00DD25D3" w:rsidRPr="00832329" w:rsidRDefault="00DD25D3" w:rsidP="00DD25D3">
      <w:pPr>
        <w:pStyle w:val="Text"/>
        <w:ind w:firstLine="0"/>
        <w:jc w:val="both"/>
        <w:rPr>
          <w:sz w:val="18"/>
          <w:szCs w:val="18"/>
        </w:rPr>
        <w:sectPr w:rsidR="00DD25D3" w:rsidRPr="00832329" w:rsidSect="004E040C">
          <w:pgSz w:w="15840" w:h="12240" w:orient="landscape"/>
          <w:pgMar w:top="1440" w:right="1440" w:bottom="1440" w:left="1440" w:header="432" w:footer="720" w:gutter="0"/>
          <w:lnNumType w:countBy="1" w:restart="continuous"/>
          <w:cols w:space="720"/>
          <w:docGrid w:linePitch="360"/>
        </w:sectPr>
      </w:pPr>
    </w:p>
    <w:p w14:paraId="53C3F7EB" w14:textId="77777777" w:rsidR="00DD25D3" w:rsidRPr="00DD25D3" w:rsidRDefault="00DD25D3" w:rsidP="00CB6233">
      <w:pPr>
        <w:pStyle w:val="SMcaption"/>
        <w:rPr>
          <w:noProof/>
          <w:lang w:eastAsia="zh-CN"/>
        </w:rPr>
      </w:pPr>
    </w:p>
    <w:p w14:paraId="3D770846" w14:textId="46C768E5" w:rsidR="00CB6233" w:rsidRPr="005314B5" w:rsidRDefault="00CB6233" w:rsidP="00CB6233">
      <w:pPr>
        <w:pStyle w:val="SMHeading"/>
        <w:rPr>
          <w:rFonts w:ascii="Myriad Pro" w:hAnsi="Myriad Pro"/>
          <w:sz w:val="22"/>
          <w:szCs w:val="22"/>
        </w:rPr>
      </w:pPr>
      <w:r w:rsidRPr="005314B5">
        <w:rPr>
          <w:rFonts w:ascii="Myriad Pro" w:hAnsi="Myriad Pro"/>
          <w:sz w:val="22"/>
          <w:szCs w:val="22"/>
        </w:rPr>
        <w:t>Text</w:t>
      </w:r>
      <w:r>
        <w:rPr>
          <w:rFonts w:ascii="Myriad Pro" w:hAnsi="Myriad Pro"/>
          <w:sz w:val="22"/>
          <w:szCs w:val="22"/>
        </w:rPr>
        <w:t xml:space="preserve"> </w:t>
      </w:r>
      <w:r w:rsidR="00DD25D3">
        <w:rPr>
          <w:rFonts w:ascii="Myriad Pro" w:hAnsi="Myriad Pro"/>
          <w:sz w:val="22"/>
          <w:szCs w:val="22"/>
        </w:rPr>
        <w:t>S3</w:t>
      </w:r>
    </w:p>
    <w:p w14:paraId="188ECC91" w14:textId="77777777" w:rsidR="00CB6233" w:rsidRPr="00CB6233" w:rsidRDefault="00CB6233" w:rsidP="00CB6233">
      <w:pPr>
        <w:pStyle w:val="SMText"/>
        <w:ind w:firstLine="0"/>
        <w:rPr>
          <w:rFonts w:ascii="Myriad Pro" w:hAnsi="Myriad Pro"/>
          <w:sz w:val="22"/>
          <w:szCs w:val="22"/>
        </w:rPr>
      </w:pPr>
      <w:r w:rsidRPr="00CB6233">
        <w:rPr>
          <w:rFonts w:ascii="Myriad Pro" w:hAnsi="Myriad Pro"/>
          <w:sz w:val="22"/>
          <w:szCs w:val="22"/>
        </w:rPr>
        <w:t xml:space="preserve">The </w:t>
      </w:r>
      <w:proofErr w:type="spellStart"/>
      <w:r w:rsidRPr="00CB6233">
        <w:rPr>
          <w:rFonts w:ascii="Myriad Pro" w:hAnsi="Myriad Pro"/>
          <w:sz w:val="22"/>
          <w:szCs w:val="22"/>
        </w:rPr>
        <w:t>BeWhere</w:t>
      </w:r>
      <w:proofErr w:type="spellEnd"/>
      <w:r w:rsidRPr="00CB6233">
        <w:rPr>
          <w:rFonts w:ascii="Myriad Pro" w:hAnsi="Myriad Pro"/>
          <w:sz w:val="22"/>
          <w:szCs w:val="22"/>
        </w:rPr>
        <w:t xml:space="preserve"> model is a techno-economic engineering model used to identify the optimal locations for hydropower plants under different levels of global warming </w:t>
      </w:r>
      <w:r w:rsidRPr="00CB6233">
        <w:rPr>
          <w:rFonts w:ascii="Myriad Pro" w:hAnsi="Myriad Pro"/>
          <w:sz w:val="22"/>
          <w:szCs w:val="22"/>
        </w:rPr>
        <w:fldChar w:fldCharType="begin" w:fldLock="1"/>
      </w:r>
      <w:r w:rsidRPr="00CB6233">
        <w:rPr>
          <w:rFonts w:ascii="Myriad Pro" w:hAnsi="Myriad Pro"/>
          <w:sz w:val="22"/>
          <w:szCs w:val="22"/>
        </w:rPr>
        <w:instrText>ADDIN CSL_CITATION {"citationItems":[{"id":"ITEM-1","itemData":{"DOI":"10.1016/j.renene.2017.02.020","ISSN":"18790682","abstract":"Large-scale deployment of renewable energy sources (RES) plays a central role in reducing CO2emissions from energy supply systems, but intermittency from solar and wind technologies presents integration challenges. High temperature co-electrolysis of steam and CO2in power-to-gas (PtG) and power-to-liquid (PtL) configurations could utilize excess intermittent electricity by converting it into chemical fuels. These can then be directly consumed in other sectors, such as transportation and heating, or used as power storage. Here, we investigate the impact of carbon policy and fossil fuel prices on the economic and engineering potential of PtG and PtL systems as storage for intermittent renewable electricity and as a source of low-carbon heating and transportation energy in the Alpine region. We employ a spatially and temporally explicit optimization approach of RES, PtG, PtL and fossil technologies in the electricity, heating, and transportation sectors, using the BeWhere model. Results indicate that large-scale deployment of PtG and PtL technologies for producing chemical fuels from excess intermittent electricity is feasible, particularly when incentivized by carbon prices. Depending on carbon and fossil fuel price, 0.15–15 million tonnes/year of captured CO2can be used in the synthesis of the chemical fuels, displacing up to 11% of current fossil fuel use in transportation. By providing a physical link between the electricity, transportation, and heating sectors, PtG and PtL technologies can enable greater integration of RES into the energy supply chain globally.","author":[{"dropping-particle":"","family":"Mesfun","given":"Sennai","non-dropping-particle":"","parse-names":false,"suffix":""},{"dropping-particle":"","family":"Sanchez","given":"Daniel L.","non-dropping-particle":"","parse-names":false,"suffix":""},{"dropping-particle":"","family":"Leduc","given":"Sylvain","non-dropping-particle":"","parse-names":false,"suffix":""},{"dropping-particle":"","family":"Wetterlund","given":"Elisabeth","non-dropping-particle":"","parse-names":false,"suffix":""},{"dropping-particle":"","family":"Lundgren","given":"Joakim","non-dropping-particle":"","parse-names":false,"suffix":""},{"dropping-particle":"","family":"Biberacher","given":"Markus","non-dropping-particle":"","parse-names":false,"suffix":""},{"dropping-particle":"","family":"Kraxner","given":"Florian","non-dropping-particle":"","parse-names":false,"suffix":""}],"container-title":"Renewable Energy","id":"ITEM-1","issued":{"date-parts":[["2017"]]},"page":"361-372","publisher":"Elsevier Ltd","title":"Power-to-gas and power-to-liquid for managing renewable electricity intermittency in the Alpine Region","type":"article-journal","volume":"107"},"uris":["http://www.mendeley.com/documents/?uuid=1c607db7-22a9-4e03-9a60-bf2d43593e3e"]},{"id":"ITEM-2","itemData":{"DOI":"ISBN 978-91-86233-48-8, ISSN 1402-1544","ISBN":"9789186233488","ISSN":"1402-1544","author":[{"dropping-particle":"","family":"Leduc","given":"Sylvain","non-dropping-particle":"","parse-names":false,"suffix":""}],"container-title":"Doctoral thesis","id":"ITEM-2","issued":{"date-parts":[["2009"]]},"title":"Development of an optimization model for the location of biofuel production plants, PhD Thesis","type":"book"},"uris":["http://www.mendeley.com/documents/?uuid=15986e3c-51f7-463a-a128-136872e848cc"]},{"id":"ITEM-3","itemData":{"DOI":"10.1016/j.apenergy.2009.02.009","ISSN":"03062619","abstract":"Concerning production and use of biofuels, mismatch between the locations of feedstock and the biofuel consumer may lead to high transportation costs and negative environmental impact. In order to minimize these consequences, it is important to locate the production plant at an appropriate location. In this paper, a case study of the county of Norrbotten in northern Sweden is presented with the purpose to illustrate how an optimization model could be used to assess a proper location for a biomass based methanol production plant. The production of lignocellulosic based methanol via gasification has been chosen, as methanol seems to be one promising alternative to replace fossil gasoline as an automotive fuel and Norrbotten has abundant resources of woody biomass. If methanol would be produced in a stand-alone production plant in the county, the cost for transportation of the feedstock as well as the produced methanol would have great impact on the final cost depending on where the methanol plant is located. Three different production plant sizes have been considered in the study, 100, 200 and 400 MW (biomass fuel input), respectively. When assessing a proper location for this kind of plant, it is important to also consider the future motor fuel demand as well as to identify a heat sink for the residual heat. In this study, four different automotive fuel- and district heating demand scenarios have been created until the year 2025. The results show that methanol can be produced at a maximum cost of 0.48 €/l without heat sales. By selling the residual heat as district heating, the methanol production cost per liter fuel may decrease by up to 10% when the plant is located close to an area with high annual heat demand. © 2009 Elsevier Ltd. All rights reserved.","author":[{"dropping-particle":"","family":"Leduc","given":"S.","non-dropping-particle":"","parse-names":false,"suffix":""},{"dropping-particle":"","family":"Lundgren","given":"J.","non-dropping-particle":"","parse-names":false,"suffix":""},{"dropping-particle":"","family":"Franklin","given":"O.","non-dropping-particle":"","parse-names":false,"suffix":""},{"dropping-particle":"","family":"Dotzauer","given":"E.","non-dropping-particle":"","parse-names":false,"suffix":""}],"container-title":"Applied Energy","id":"ITEM-3","issued":{"date-parts":[["2010"]]},"title":"Location of a biomass based methanol production plant: A dynamic problem in northern Sweden","type":"article-journal"},"uris":["http://www.mendeley.com/documents/?uuid=c29a79fa-e5a7-426a-97f3-e5796d8f26e0"]}],"mendeley":{"formattedCitation":"(S. Leduc et al., 2010; Sylvain Leduc, 2009; Mesfun et al., 2017)","manualFormatting":"(Leduc et al., 2010; Sylvain Leduc, 2009; Mesfun et al., 2017)","plainTextFormattedCitation":"(S. Leduc et al., 2010; Sylvain Leduc, 2009; Mesfun et al., 2017)","previouslyFormattedCitation":"(S. Leduc et al., 2010; Sylvain Leduc, 2009; Mesfun et al., 2017)"},"properties":{"noteIndex":0},"schema":"https://github.com/citation-style-language/schema/raw/master/csl-citation.json"}</w:instrText>
      </w:r>
      <w:r w:rsidRPr="00CB6233">
        <w:rPr>
          <w:rFonts w:ascii="Myriad Pro" w:hAnsi="Myriad Pro"/>
          <w:sz w:val="22"/>
          <w:szCs w:val="22"/>
        </w:rPr>
        <w:fldChar w:fldCharType="separate"/>
      </w:r>
      <w:r w:rsidRPr="00CB6233">
        <w:rPr>
          <w:rFonts w:ascii="Myriad Pro" w:hAnsi="Myriad Pro"/>
          <w:noProof/>
          <w:sz w:val="22"/>
          <w:szCs w:val="22"/>
        </w:rPr>
        <w:t>(Leduc et al., 2010; Sylvain Leduc, 2009; Mesfun et al., 2017)</w:t>
      </w:r>
      <w:r w:rsidRPr="00CB6233">
        <w:rPr>
          <w:rFonts w:ascii="Myriad Pro" w:hAnsi="Myriad Pro"/>
          <w:sz w:val="22"/>
          <w:szCs w:val="22"/>
        </w:rPr>
        <w:fldChar w:fldCharType="end"/>
      </w:r>
      <w:r w:rsidRPr="00CB6233">
        <w:rPr>
          <w:rFonts w:ascii="Myriad Pro" w:hAnsi="Myriad Pro"/>
          <w:sz w:val="22"/>
          <w:szCs w:val="22"/>
        </w:rPr>
        <w:t xml:space="preserve">. </w:t>
      </w:r>
    </w:p>
    <w:p w14:paraId="394A9B50" w14:textId="77777777" w:rsidR="00CB6233" w:rsidRPr="00CB6233" w:rsidRDefault="00CB6233" w:rsidP="00CB6233">
      <w:pPr>
        <w:pStyle w:val="SMText"/>
        <w:ind w:firstLine="0"/>
        <w:rPr>
          <w:rFonts w:ascii="Myriad Pro" w:hAnsi="Myriad Pro"/>
          <w:sz w:val="22"/>
          <w:szCs w:val="22"/>
        </w:rPr>
      </w:pPr>
      <w:r w:rsidRPr="00CB6233">
        <w:rPr>
          <w:rFonts w:ascii="Myriad Pro" w:hAnsi="Myriad Pro"/>
          <w:sz w:val="22"/>
          <w:szCs w:val="22"/>
        </w:rPr>
        <w:t>The overall objective of the model is to minimize the entire cost (</w:t>
      </w:r>
      <w:proofErr w:type="spellStart"/>
      <w:r w:rsidRPr="00AD08D6">
        <w:rPr>
          <w:rFonts w:ascii="Myriad Pro" w:hAnsi="Myriad Pro"/>
          <w:i/>
          <w:iCs/>
          <w:sz w:val="22"/>
          <w:szCs w:val="22"/>
        </w:rPr>
        <w:t>C</w:t>
      </w:r>
      <w:r w:rsidRPr="00AD08D6">
        <w:rPr>
          <w:rFonts w:ascii="Myriad Pro" w:hAnsi="Myriad Pro"/>
          <w:i/>
          <w:iCs/>
          <w:sz w:val="22"/>
          <w:szCs w:val="22"/>
          <w:vertAlign w:val="subscript"/>
        </w:rPr>
        <w:t>tot</w:t>
      </w:r>
      <w:proofErr w:type="spellEnd"/>
      <w:r w:rsidRPr="00CB6233">
        <w:rPr>
          <w:rFonts w:ascii="Myriad Pro" w:hAnsi="Myriad Pro"/>
          <w:sz w:val="22"/>
          <w:szCs w:val="22"/>
        </w:rPr>
        <w:t>) of the energy supply chain according to the following:</w:t>
      </w:r>
    </w:p>
    <w:p w14:paraId="7E350E39" w14:textId="467BEA0C" w:rsidR="00CB6233" w:rsidRPr="00CB6233" w:rsidRDefault="00CC1D14" w:rsidP="00CB6233">
      <w:pPr>
        <w:pStyle w:val="SMText"/>
        <w:ind w:firstLine="0"/>
        <w:jc w:val="right"/>
        <w:rPr>
          <w:rFonts w:ascii="Myriad Pro" w:hAnsi="Myriad Pro"/>
          <w:sz w:val="22"/>
          <w:szCs w:val="22"/>
        </w:rPr>
      </w:pPr>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tot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supply</m:t>
            </m:r>
            <m:r>
              <m:rPr>
                <m:sty m:val="p"/>
              </m:rPr>
              <w:rPr>
                <w:rFonts w:ascii="Cambria Math" w:hAnsi="Cambria Math"/>
                <w:sz w:val="22"/>
                <w:szCs w:val="22"/>
              </w:rPr>
              <m:t xml:space="preserve"> </m:t>
            </m:r>
            <m:r>
              <w:rPr>
                <w:rFonts w:ascii="Cambria Math" w:hAnsi="Cambria Math"/>
                <w:sz w:val="22"/>
                <w:szCs w:val="22"/>
              </w:rPr>
              <m:t>chain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supply</m:t>
            </m:r>
            <m:r>
              <m:rPr>
                <m:sty m:val="p"/>
              </m:rPr>
              <w:rPr>
                <w:rFonts w:ascii="Cambria Math" w:hAnsi="Cambria Math"/>
                <w:sz w:val="22"/>
                <w:szCs w:val="22"/>
              </w:rPr>
              <m:t xml:space="preserve"> </m:t>
            </m:r>
            <m:r>
              <w:rPr>
                <w:rFonts w:ascii="Cambria Math" w:hAnsi="Cambria Math"/>
                <w:sz w:val="22"/>
                <w:szCs w:val="22"/>
              </w:rPr>
              <m:t>chain</m:t>
            </m:r>
          </m:sub>
        </m:sSub>
        <m:sSub>
          <m:sSubPr>
            <m:ctrlPr>
              <w:rPr>
                <w:rFonts w:ascii="Cambria Math" w:hAnsi="Cambria Math"/>
                <w:sz w:val="22"/>
                <w:szCs w:val="22"/>
              </w:rPr>
            </m:ctrlPr>
          </m:sSubPr>
          <m:e>
            <m:r>
              <w:rPr>
                <w:rFonts w:ascii="Cambria Math" w:hAnsi="Cambria Math"/>
                <w:sz w:val="22"/>
                <w:szCs w:val="22"/>
              </w:rPr>
              <m:t>C</m:t>
            </m:r>
          </m:e>
          <m:sub>
            <m:sSub>
              <m:sSubPr>
                <m:ctrlPr>
                  <w:rPr>
                    <w:rFonts w:ascii="Cambria Math" w:hAnsi="Cambria Math"/>
                    <w:sz w:val="22"/>
                    <w:szCs w:val="22"/>
                  </w:rPr>
                </m:ctrlPr>
              </m:sSubPr>
              <m:e>
                <m:r>
                  <w:rPr>
                    <w:rFonts w:ascii="Cambria Math" w:hAnsi="Cambria Math"/>
                    <w:sz w:val="22"/>
                    <w:szCs w:val="22"/>
                  </w:rPr>
                  <m:t>CO</m:t>
                </m:r>
              </m:e>
              <m:sub>
                <m:r>
                  <m:rPr>
                    <m:sty m:val="p"/>
                  </m:rPr>
                  <w:rPr>
                    <w:rFonts w:ascii="Cambria Math" w:hAnsi="Cambria Math"/>
                    <w:sz w:val="22"/>
                    <w:szCs w:val="22"/>
                  </w:rPr>
                  <m:t>2</m:t>
                </m:r>
              </m:sub>
            </m:sSub>
          </m:sub>
        </m:sSub>
      </m:oMath>
      <w:r w:rsidR="00CB6233" w:rsidRPr="00CB6233">
        <w:rPr>
          <w:rFonts w:ascii="Myriad Pro" w:hAnsi="Myriad Pro" w:hint="eastAsia"/>
          <w:sz w:val="22"/>
          <w:szCs w:val="22"/>
        </w:rPr>
        <w:t xml:space="preserve"> </w:t>
      </w:r>
      <w:r w:rsidR="00CB6233" w:rsidRPr="00CB6233">
        <w:rPr>
          <w:rFonts w:ascii="Myriad Pro" w:hAnsi="Myriad Pro"/>
          <w:sz w:val="22"/>
          <w:szCs w:val="22"/>
        </w:rPr>
        <w:t xml:space="preserve">         </w:t>
      </w:r>
      <w:r w:rsidR="00CB6233">
        <w:rPr>
          <w:rFonts w:ascii="Myriad Pro" w:hAnsi="Myriad Pro"/>
          <w:sz w:val="22"/>
          <w:szCs w:val="22"/>
        </w:rPr>
        <w:t xml:space="preserve">                 </w:t>
      </w:r>
      <w:r w:rsidR="00CB6233" w:rsidRPr="00CB6233">
        <w:rPr>
          <w:rFonts w:ascii="Myriad Pro" w:hAnsi="Myriad Pro"/>
          <w:sz w:val="22"/>
          <w:szCs w:val="22"/>
        </w:rPr>
        <w:t xml:space="preserve">                   (1)</w:t>
      </w:r>
    </w:p>
    <w:p w14:paraId="546F8975" w14:textId="77777777" w:rsidR="00CB6233" w:rsidRPr="00CB6233" w:rsidRDefault="00CB6233" w:rsidP="00CB6233">
      <w:pPr>
        <w:pStyle w:val="SMText"/>
        <w:ind w:firstLine="0"/>
        <w:rPr>
          <w:rFonts w:ascii="Myriad Pro" w:hAnsi="Myriad Pro"/>
          <w:sz w:val="22"/>
          <w:szCs w:val="22"/>
        </w:rPr>
      </w:pPr>
      <w:r w:rsidRPr="00CB6233">
        <w:rPr>
          <w:rFonts w:ascii="Myriad Pro" w:hAnsi="Myriad Pro"/>
          <w:sz w:val="22"/>
          <w:szCs w:val="22"/>
        </w:rPr>
        <w:t xml:space="preserve">where </w:t>
      </w:r>
      <w:proofErr w:type="spellStart"/>
      <w:r w:rsidRPr="00AD08D6">
        <w:rPr>
          <w:rFonts w:ascii="Myriad Pro" w:hAnsi="Myriad Pro"/>
          <w:i/>
          <w:iCs/>
          <w:sz w:val="22"/>
          <w:szCs w:val="22"/>
        </w:rPr>
        <w:t>C</w:t>
      </w:r>
      <w:r w:rsidRPr="00AD08D6">
        <w:rPr>
          <w:rFonts w:ascii="Myriad Pro" w:hAnsi="Myriad Pro"/>
          <w:i/>
          <w:iCs/>
          <w:sz w:val="22"/>
          <w:szCs w:val="22"/>
          <w:vertAlign w:val="subscript"/>
        </w:rPr>
        <w:t>supply</w:t>
      </w:r>
      <w:proofErr w:type="spellEnd"/>
      <w:r w:rsidRPr="00AD08D6">
        <w:rPr>
          <w:rFonts w:ascii="Myriad Pro" w:hAnsi="Myriad Pro"/>
          <w:i/>
          <w:iCs/>
          <w:sz w:val="22"/>
          <w:szCs w:val="22"/>
          <w:vertAlign w:val="subscript"/>
        </w:rPr>
        <w:t xml:space="preserve"> chain</w:t>
      </w:r>
      <w:r w:rsidRPr="00CB6233">
        <w:rPr>
          <w:rFonts w:ascii="Myriad Pro" w:hAnsi="Myriad Pro"/>
          <w:sz w:val="22"/>
          <w:szCs w:val="22"/>
        </w:rPr>
        <w:t xml:space="preserve"> is the supply chain cost (variable), </w:t>
      </w:r>
      <w:proofErr w:type="spellStart"/>
      <w:r w:rsidRPr="00AD08D6">
        <w:rPr>
          <w:rFonts w:ascii="Myriad Pro" w:hAnsi="Myriad Pro"/>
          <w:i/>
          <w:iCs/>
          <w:sz w:val="22"/>
          <w:szCs w:val="22"/>
        </w:rPr>
        <w:t>E</w:t>
      </w:r>
      <w:r w:rsidRPr="00AD08D6">
        <w:rPr>
          <w:rFonts w:ascii="Myriad Pro" w:hAnsi="Myriad Pro"/>
          <w:i/>
          <w:iCs/>
          <w:sz w:val="22"/>
          <w:szCs w:val="22"/>
          <w:vertAlign w:val="subscript"/>
        </w:rPr>
        <w:t>supply</w:t>
      </w:r>
      <w:proofErr w:type="spellEnd"/>
      <w:r w:rsidRPr="00AD08D6">
        <w:rPr>
          <w:rFonts w:ascii="Myriad Pro" w:hAnsi="Myriad Pro"/>
          <w:i/>
          <w:iCs/>
          <w:sz w:val="22"/>
          <w:szCs w:val="22"/>
          <w:vertAlign w:val="subscript"/>
        </w:rPr>
        <w:t xml:space="preserve"> chain</w:t>
      </w:r>
      <w:r w:rsidRPr="00CB6233">
        <w:rPr>
          <w:rFonts w:ascii="Myriad Pro" w:hAnsi="Myriad Pro"/>
          <w:sz w:val="22"/>
          <w:szCs w:val="22"/>
        </w:rPr>
        <w:t xml:space="preserve"> is the supply emissions (variable), and </w:t>
      </w:r>
      <w:r w:rsidRPr="00AD08D6">
        <w:rPr>
          <w:rFonts w:ascii="Myriad Pro" w:hAnsi="Myriad Pro"/>
          <w:i/>
          <w:iCs/>
          <w:sz w:val="22"/>
          <w:szCs w:val="22"/>
        </w:rPr>
        <w:t>C</w:t>
      </w:r>
      <w:r w:rsidRPr="00AD08D6">
        <w:rPr>
          <w:rFonts w:ascii="Myriad Pro" w:hAnsi="Myriad Pro"/>
          <w:i/>
          <w:iCs/>
          <w:sz w:val="22"/>
          <w:szCs w:val="22"/>
          <w:vertAlign w:val="subscript"/>
        </w:rPr>
        <w:t>CO2</w:t>
      </w:r>
      <w:r w:rsidRPr="00CB6233">
        <w:rPr>
          <w:rFonts w:ascii="Myriad Pro" w:hAnsi="Myriad Pro"/>
          <w:sz w:val="22"/>
          <w:szCs w:val="22"/>
        </w:rPr>
        <w:t xml:space="preserve"> is the cost of emitting </w:t>
      </w:r>
      <w:r w:rsidRPr="00AD08D6">
        <w:rPr>
          <w:rFonts w:ascii="Myriad Pro" w:hAnsi="Myriad Pro"/>
          <w:i/>
          <w:iCs/>
          <w:sz w:val="22"/>
          <w:szCs w:val="22"/>
        </w:rPr>
        <w:t>CO</w:t>
      </w:r>
      <w:r w:rsidRPr="00AD08D6">
        <w:rPr>
          <w:rFonts w:ascii="Myriad Pro" w:hAnsi="Myriad Pro"/>
          <w:i/>
          <w:iCs/>
          <w:sz w:val="22"/>
          <w:szCs w:val="22"/>
          <w:vertAlign w:val="subscript"/>
        </w:rPr>
        <w:t>2</w:t>
      </w:r>
      <w:r w:rsidRPr="00CB6233">
        <w:rPr>
          <w:rFonts w:ascii="Myriad Pro" w:hAnsi="Myriad Pro"/>
          <w:sz w:val="22"/>
          <w:szCs w:val="22"/>
        </w:rPr>
        <w:t xml:space="preserve"> (parameter). The </w:t>
      </w:r>
      <w:r w:rsidRPr="00CB6233">
        <w:rPr>
          <w:rFonts w:ascii="Myriad Pro" w:hAnsi="Myriad Pro" w:hint="eastAsia"/>
          <w:sz w:val="22"/>
          <w:szCs w:val="22"/>
        </w:rPr>
        <w:t>sup</w:t>
      </w:r>
      <w:r w:rsidRPr="00CB6233">
        <w:rPr>
          <w:rFonts w:ascii="Myriad Pro" w:hAnsi="Myriad Pro"/>
          <w:sz w:val="22"/>
          <w:szCs w:val="22"/>
        </w:rPr>
        <w:t>ply chain cost</w:t>
      </w:r>
      <w:r w:rsidRPr="00AD08D6">
        <w:rPr>
          <w:rFonts w:ascii="Myriad Pro" w:hAnsi="Myriad Pro"/>
          <w:i/>
          <w:iCs/>
          <w:sz w:val="22"/>
          <w:szCs w:val="22"/>
        </w:rPr>
        <w:t xml:space="preserve"> </w:t>
      </w:r>
      <w:proofErr w:type="spellStart"/>
      <w:r w:rsidRPr="00AD08D6">
        <w:rPr>
          <w:rFonts w:ascii="Myriad Pro" w:hAnsi="Myriad Pro"/>
          <w:i/>
          <w:iCs/>
          <w:sz w:val="22"/>
          <w:szCs w:val="22"/>
        </w:rPr>
        <w:t>C</w:t>
      </w:r>
      <w:r w:rsidRPr="00AD08D6">
        <w:rPr>
          <w:rFonts w:ascii="Myriad Pro" w:hAnsi="Myriad Pro" w:hint="eastAsia"/>
          <w:i/>
          <w:iCs/>
          <w:sz w:val="22"/>
          <w:szCs w:val="22"/>
          <w:vertAlign w:val="subscript"/>
        </w:rPr>
        <w:t>s</w:t>
      </w:r>
      <w:r w:rsidRPr="00AD08D6">
        <w:rPr>
          <w:rFonts w:ascii="Myriad Pro" w:hAnsi="Myriad Pro"/>
          <w:i/>
          <w:iCs/>
          <w:sz w:val="22"/>
          <w:szCs w:val="22"/>
          <w:vertAlign w:val="subscript"/>
        </w:rPr>
        <w:t>upply</w:t>
      </w:r>
      <w:proofErr w:type="spellEnd"/>
      <w:r w:rsidRPr="00AD08D6">
        <w:rPr>
          <w:rFonts w:ascii="Myriad Pro" w:hAnsi="Myriad Pro"/>
          <w:i/>
          <w:iCs/>
          <w:sz w:val="22"/>
          <w:szCs w:val="22"/>
          <w:vertAlign w:val="subscript"/>
        </w:rPr>
        <w:t xml:space="preserve"> chain</w:t>
      </w:r>
      <w:r w:rsidRPr="00CB6233">
        <w:rPr>
          <w:rFonts w:ascii="Myriad Pro" w:hAnsi="Myriad Pro"/>
          <w:sz w:val="22"/>
          <w:szCs w:val="22"/>
        </w:rPr>
        <w:t xml:space="preserve"> in turn accounts for:</w:t>
      </w:r>
    </w:p>
    <w:p w14:paraId="55F924F2" w14:textId="08B9ED14" w:rsidR="00CB6233" w:rsidRPr="00CB6233" w:rsidRDefault="00CC1D14" w:rsidP="00CB6233">
      <w:pPr>
        <w:pStyle w:val="SMText"/>
        <w:ind w:firstLine="0"/>
        <w:jc w:val="right"/>
        <w:rPr>
          <w:rFonts w:ascii="Myriad Pro" w:hAnsi="Myriad Pro"/>
          <w:sz w:val="22"/>
          <w:szCs w:val="22"/>
        </w:rPr>
      </w:pPr>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supply</m:t>
            </m:r>
            <m:r>
              <m:rPr>
                <m:sty m:val="p"/>
              </m:rPr>
              <w:rPr>
                <w:rFonts w:ascii="Cambria Math" w:hAnsi="Cambria Math"/>
                <w:sz w:val="22"/>
                <w:szCs w:val="22"/>
              </w:rPr>
              <m:t xml:space="preserve"> </m:t>
            </m:r>
            <m:r>
              <w:rPr>
                <w:rFonts w:ascii="Cambria Math" w:hAnsi="Cambria Math"/>
                <w:sz w:val="22"/>
                <w:szCs w:val="22"/>
              </w:rPr>
              <m:t>chain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set</m:t>
            </m:r>
            <m:r>
              <m:rPr>
                <m:sty m:val="p"/>
              </m:rPr>
              <w:rPr>
                <w:rFonts w:ascii="Cambria Math" w:hAnsi="Cambria Math"/>
                <w:sz w:val="22"/>
                <w:szCs w:val="22"/>
              </w:rPr>
              <m:t xml:space="preserve"> </m:t>
            </m:r>
            <m:r>
              <w:rPr>
                <w:rFonts w:ascii="Cambria Math" w:hAnsi="Cambria Math"/>
                <w:sz w:val="22"/>
                <w:szCs w:val="22"/>
              </w:rPr>
              <m:t>up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O</m:t>
            </m:r>
            <m:r>
              <m:rPr>
                <m:sty m:val="p"/>
              </m:rPr>
              <w:rPr>
                <w:rFonts w:ascii="Cambria Math" w:hAnsi="Cambria Math"/>
                <w:sz w:val="22"/>
                <w:szCs w:val="22"/>
              </w:rPr>
              <m:t>&amp;</m:t>
            </m:r>
            <m:r>
              <w:rPr>
                <w:rFonts w:ascii="Cambria Math" w:hAnsi="Cambria Math"/>
                <w:sz w:val="22"/>
                <w:szCs w:val="22"/>
              </w:rPr>
              <m:t>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fossil</m:t>
            </m:r>
            <m:r>
              <m:rPr>
                <m:sty m:val="p"/>
              </m:rPr>
              <w:rPr>
                <w:rFonts w:ascii="Cambria Math" w:hAnsi="Cambria Math"/>
                <w:sz w:val="22"/>
                <w:szCs w:val="22"/>
              </w:rPr>
              <m:t xml:space="preserve"> </m:t>
            </m:r>
            <m:r>
              <w:rPr>
                <w:rFonts w:ascii="Cambria Math" w:hAnsi="Cambria Math"/>
                <w:sz w:val="22"/>
                <w:szCs w:val="22"/>
              </w:rPr>
              <m:t>fuel</m:t>
            </m:r>
          </m:sub>
        </m:sSub>
      </m:oMath>
      <w:r w:rsidR="00CB6233" w:rsidRPr="00CB6233">
        <w:rPr>
          <w:rFonts w:ascii="Myriad Pro" w:hAnsi="Myriad Pro"/>
          <w:sz w:val="22"/>
          <w:szCs w:val="22"/>
        </w:rPr>
        <w:t xml:space="preserve">           </w:t>
      </w:r>
      <w:r w:rsidR="00CB6233">
        <w:rPr>
          <w:rFonts w:ascii="Myriad Pro" w:hAnsi="Myriad Pro"/>
          <w:sz w:val="22"/>
          <w:szCs w:val="22"/>
        </w:rPr>
        <w:t xml:space="preserve">           </w:t>
      </w:r>
      <w:r w:rsidR="00CB6233" w:rsidRPr="00CB6233">
        <w:rPr>
          <w:rFonts w:ascii="Myriad Pro" w:hAnsi="Myriad Pro"/>
          <w:sz w:val="22"/>
          <w:szCs w:val="22"/>
        </w:rPr>
        <w:t xml:space="preserve">             (2)</w:t>
      </w:r>
    </w:p>
    <w:p w14:paraId="520B30C7" w14:textId="77777777" w:rsidR="00CB6233" w:rsidRPr="00CB6233" w:rsidRDefault="00CB6233" w:rsidP="00CB6233">
      <w:pPr>
        <w:pStyle w:val="SMText"/>
        <w:ind w:firstLine="0"/>
        <w:rPr>
          <w:rFonts w:ascii="Myriad Pro" w:hAnsi="Myriad Pro"/>
          <w:sz w:val="22"/>
          <w:szCs w:val="22"/>
        </w:rPr>
      </w:pPr>
      <w:r w:rsidRPr="00CB6233">
        <w:rPr>
          <w:rFonts w:ascii="Myriad Pro" w:hAnsi="Myriad Pro"/>
          <w:sz w:val="22"/>
          <w:szCs w:val="22"/>
        </w:rPr>
        <w:t xml:space="preserve">where </w:t>
      </w:r>
      <w:proofErr w:type="spellStart"/>
      <w:r w:rsidRPr="00CB6233">
        <w:rPr>
          <w:rFonts w:ascii="Myriad Pro" w:hAnsi="Myriad Pro"/>
          <w:sz w:val="22"/>
          <w:szCs w:val="22"/>
        </w:rPr>
        <w:t>C</w:t>
      </w:r>
      <w:r w:rsidRPr="00AD08D6">
        <w:rPr>
          <w:rFonts w:ascii="Myriad Pro" w:hAnsi="Myriad Pro"/>
          <w:sz w:val="22"/>
          <w:szCs w:val="22"/>
          <w:vertAlign w:val="subscript"/>
        </w:rPr>
        <w:t>supply</w:t>
      </w:r>
      <w:proofErr w:type="spellEnd"/>
      <w:r w:rsidRPr="00AD08D6">
        <w:rPr>
          <w:rFonts w:ascii="Myriad Pro" w:hAnsi="Myriad Pro"/>
          <w:sz w:val="22"/>
          <w:szCs w:val="22"/>
          <w:vertAlign w:val="subscript"/>
        </w:rPr>
        <w:t xml:space="preserve"> chain</w:t>
      </w:r>
      <w:r w:rsidRPr="00CB6233">
        <w:rPr>
          <w:rFonts w:ascii="Myriad Pro" w:hAnsi="Myriad Pro"/>
          <w:sz w:val="22"/>
          <w:szCs w:val="22"/>
        </w:rPr>
        <w:t xml:space="preserve"> is the supply chain cost, </w:t>
      </w:r>
      <w:proofErr w:type="spellStart"/>
      <w:r w:rsidRPr="00AD08D6">
        <w:rPr>
          <w:rFonts w:ascii="Myriad Pro" w:hAnsi="Myriad Pro"/>
          <w:i/>
          <w:iCs/>
          <w:sz w:val="22"/>
          <w:szCs w:val="22"/>
        </w:rPr>
        <w:t>C</w:t>
      </w:r>
      <w:r w:rsidRPr="00AD08D6">
        <w:rPr>
          <w:rFonts w:ascii="Myriad Pro" w:hAnsi="Myriad Pro"/>
          <w:i/>
          <w:iCs/>
          <w:sz w:val="22"/>
          <w:szCs w:val="22"/>
          <w:vertAlign w:val="subscript"/>
        </w:rPr>
        <w:t>set</w:t>
      </w:r>
      <w:proofErr w:type="spellEnd"/>
      <w:r w:rsidRPr="00AD08D6">
        <w:rPr>
          <w:rFonts w:ascii="Myriad Pro" w:hAnsi="Myriad Pro"/>
          <w:i/>
          <w:iCs/>
          <w:sz w:val="22"/>
          <w:szCs w:val="22"/>
          <w:vertAlign w:val="subscript"/>
        </w:rPr>
        <w:t xml:space="preserve"> up</w:t>
      </w:r>
      <w:r w:rsidRPr="00CB6233">
        <w:rPr>
          <w:rFonts w:ascii="Myriad Pro" w:hAnsi="Myriad Pro"/>
          <w:sz w:val="22"/>
          <w:szCs w:val="22"/>
        </w:rPr>
        <w:t xml:space="preserve"> is the cost of setting up new hydropower plants, and </w:t>
      </w:r>
      <w:r w:rsidRPr="00AD08D6">
        <w:rPr>
          <w:rFonts w:ascii="Myriad Pro" w:hAnsi="Myriad Pro"/>
          <w:i/>
          <w:iCs/>
          <w:sz w:val="22"/>
          <w:szCs w:val="22"/>
        </w:rPr>
        <w:t>C</w:t>
      </w:r>
      <w:r w:rsidRPr="00AD08D6">
        <w:rPr>
          <w:rFonts w:ascii="Myriad Pro" w:hAnsi="Myriad Pro"/>
          <w:i/>
          <w:iCs/>
          <w:sz w:val="22"/>
          <w:szCs w:val="22"/>
          <w:vertAlign w:val="subscript"/>
        </w:rPr>
        <w:t>O&amp;M</w:t>
      </w:r>
      <w:r w:rsidRPr="00CB6233">
        <w:rPr>
          <w:rFonts w:ascii="Myriad Pro" w:hAnsi="Myriad Pro"/>
          <w:sz w:val="22"/>
          <w:szCs w:val="22"/>
        </w:rPr>
        <w:t xml:space="preserve"> is the cost for operation and maintenance. C</w:t>
      </w:r>
      <w:r w:rsidRPr="00AD08D6">
        <w:rPr>
          <w:rFonts w:ascii="Myriad Pro" w:hAnsi="Myriad Pro"/>
          <w:sz w:val="22"/>
          <w:szCs w:val="22"/>
          <w:vertAlign w:val="subscript"/>
        </w:rPr>
        <w:t>T</w:t>
      </w:r>
      <w:r w:rsidRPr="00CB6233">
        <w:rPr>
          <w:rFonts w:ascii="Myriad Pro" w:hAnsi="Myriad Pro"/>
          <w:sz w:val="22"/>
          <w:szCs w:val="22"/>
        </w:rPr>
        <w:t xml:space="preserve"> is the cost of transmission and </w:t>
      </w:r>
      <w:proofErr w:type="spellStart"/>
      <w:r w:rsidRPr="00AD08D6">
        <w:rPr>
          <w:rFonts w:ascii="Myriad Pro" w:hAnsi="Myriad Pro"/>
          <w:i/>
          <w:iCs/>
          <w:sz w:val="22"/>
          <w:szCs w:val="22"/>
        </w:rPr>
        <w:t>C</w:t>
      </w:r>
      <w:r w:rsidRPr="00AD08D6">
        <w:rPr>
          <w:rFonts w:ascii="Myriad Pro" w:hAnsi="Myriad Pro"/>
          <w:i/>
          <w:iCs/>
          <w:sz w:val="22"/>
          <w:szCs w:val="22"/>
          <w:vertAlign w:val="subscript"/>
        </w:rPr>
        <w:t>fossil</w:t>
      </w:r>
      <w:proofErr w:type="spellEnd"/>
      <w:r w:rsidRPr="00AD08D6">
        <w:rPr>
          <w:rFonts w:ascii="Myriad Pro" w:hAnsi="Myriad Pro"/>
          <w:i/>
          <w:iCs/>
          <w:sz w:val="22"/>
          <w:szCs w:val="22"/>
          <w:vertAlign w:val="subscript"/>
        </w:rPr>
        <w:t xml:space="preserve"> fuel</w:t>
      </w:r>
      <w:r w:rsidRPr="00CB6233">
        <w:rPr>
          <w:rFonts w:ascii="Myriad Pro" w:hAnsi="Myriad Pro"/>
          <w:sz w:val="22"/>
          <w:szCs w:val="22"/>
        </w:rPr>
        <w:t xml:space="preserve"> is cost for competing against fossil fuel.</w:t>
      </w:r>
    </w:p>
    <w:p w14:paraId="125B2C78" w14:textId="77777777" w:rsidR="00CB6233" w:rsidRPr="00CB6233" w:rsidRDefault="00CB6233" w:rsidP="00CB6233">
      <w:pPr>
        <w:pStyle w:val="SMText"/>
        <w:ind w:firstLine="0"/>
        <w:rPr>
          <w:rFonts w:ascii="Myriad Pro" w:hAnsi="Myriad Pro"/>
          <w:sz w:val="22"/>
          <w:szCs w:val="22"/>
        </w:rPr>
      </w:pPr>
      <w:bookmarkStart w:id="4" w:name="_Hlk20751930"/>
      <w:r w:rsidRPr="00CB6233">
        <w:rPr>
          <w:rFonts w:ascii="Myriad Pro" w:hAnsi="Myriad Pro"/>
          <w:sz w:val="22"/>
          <w:szCs w:val="22"/>
        </w:rPr>
        <w:t>The transmission cost (</w:t>
      </w:r>
      <w:r w:rsidRPr="00AD08D6">
        <w:rPr>
          <w:rFonts w:ascii="Myriad Pro" w:hAnsi="Myriad Pro"/>
          <w:i/>
          <w:iCs/>
          <w:sz w:val="22"/>
          <w:szCs w:val="22"/>
        </w:rPr>
        <w:t>C</w:t>
      </w:r>
      <w:r w:rsidRPr="00AD08D6">
        <w:rPr>
          <w:rFonts w:ascii="Myriad Pro" w:hAnsi="Myriad Pro"/>
          <w:i/>
          <w:iCs/>
          <w:sz w:val="22"/>
          <w:szCs w:val="22"/>
          <w:vertAlign w:val="subscript"/>
        </w:rPr>
        <w:t>T</w:t>
      </w:r>
      <w:r w:rsidRPr="00CB6233">
        <w:rPr>
          <w:rFonts w:ascii="Myriad Pro" w:hAnsi="Myriad Pro"/>
          <w:sz w:val="22"/>
          <w:szCs w:val="22"/>
        </w:rPr>
        <w:t>) is defined as follows:</w:t>
      </w:r>
    </w:p>
    <w:p w14:paraId="4EC5B9D4" w14:textId="50B0739C" w:rsidR="00CB6233" w:rsidRPr="00CB6233" w:rsidRDefault="00CC1D14" w:rsidP="00CB6233">
      <w:pPr>
        <w:pStyle w:val="SMText"/>
        <w:ind w:firstLine="0"/>
        <w:jc w:val="right"/>
        <w:rPr>
          <w:rFonts w:ascii="Myriad Pro" w:hAnsi="Myriad Pro"/>
          <w:sz w:val="22"/>
          <w:szCs w:val="22"/>
        </w:rPr>
      </w:pPr>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new</m:t>
            </m:r>
            <m:r>
              <m:rPr>
                <m:sty m:val="p"/>
              </m:rPr>
              <w:rPr>
                <w:rFonts w:ascii="Cambria Math" w:hAnsi="Cambria Math"/>
                <w:sz w:val="22"/>
                <w:szCs w:val="22"/>
              </w:rPr>
              <m:t xml:space="preserve"> </m:t>
            </m:r>
            <m:r>
              <w:rPr>
                <w:rFonts w:ascii="Cambria Math" w:hAnsi="Cambria Math"/>
                <w:sz w:val="22"/>
                <w:szCs w:val="22"/>
              </w:rPr>
              <m:t>plants</m:t>
            </m:r>
          </m:sub>
        </m:sSub>
        <m:r>
          <m:rPr>
            <m:sty m:val="p"/>
          </m:rPr>
          <w:rPr>
            <w:rFonts w:ascii="Cambria Math" w:hAnsi="Cambria Math"/>
            <w:sz w:val="22"/>
            <w:szCs w:val="22"/>
          </w:rPr>
          <m:t>×</m:t>
        </m:r>
        <m:r>
          <w:rPr>
            <w:rFonts w:ascii="Cambria Math" w:hAnsi="Cambria Math"/>
            <w:sz w:val="22"/>
            <w:szCs w:val="22"/>
          </w:rPr>
          <m:t>D</m:t>
        </m:r>
        <m:r>
          <m:rPr>
            <m:sty m:val="p"/>
          </m:rPr>
          <w:rPr>
            <w:rFonts w:ascii="Cambria Math" w:hAnsi="Cambria Math"/>
            <w:sz w:val="22"/>
            <w:szCs w:val="22"/>
          </w:rPr>
          <m:t>×</m:t>
        </m:r>
        <m:r>
          <w:rPr>
            <w:rFonts w:ascii="Cambria Math" w:hAnsi="Cambria Math"/>
            <w:sz w:val="22"/>
            <w:szCs w:val="22"/>
          </w:rPr>
          <m:t>α</m:t>
        </m:r>
      </m:oMath>
      <w:r w:rsidR="00CB6233" w:rsidRPr="00CB6233">
        <w:rPr>
          <w:rFonts w:ascii="Myriad Pro" w:hAnsi="Myriad Pro"/>
          <w:sz w:val="22"/>
          <w:szCs w:val="22"/>
        </w:rPr>
        <w:t xml:space="preserve">                                  </w:t>
      </w:r>
      <w:r w:rsidR="00CB6233">
        <w:rPr>
          <w:rFonts w:ascii="Myriad Pro" w:hAnsi="Myriad Pro"/>
          <w:sz w:val="22"/>
          <w:szCs w:val="22"/>
        </w:rPr>
        <w:t xml:space="preserve">               </w:t>
      </w:r>
      <w:r w:rsidR="00CB6233" w:rsidRPr="00CB6233">
        <w:rPr>
          <w:rFonts w:ascii="Myriad Pro" w:hAnsi="Myriad Pro"/>
          <w:sz w:val="22"/>
          <w:szCs w:val="22"/>
        </w:rPr>
        <w:t xml:space="preserve">          (3)</w:t>
      </w:r>
    </w:p>
    <w:p w14:paraId="1276E9BD" w14:textId="77777777" w:rsidR="00CB6233" w:rsidRPr="00CB6233" w:rsidRDefault="00CB6233" w:rsidP="00CB6233">
      <w:pPr>
        <w:pStyle w:val="SMText"/>
        <w:ind w:firstLine="0"/>
        <w:rPr>
          <w:rFonts w:ascii="Myriad Pro" w:hAnsi="Myriad Pro"/>
          <w:sz w:val="22"/>
          <w:szCs w:val="22"/>
        </w:rPr>
      </w:pPr>
      <w:r w:rsidRPr="00CB6233">
        <w:rPr>
          <w:rFonts w:ascii="Myriad Pro" w:hAnsi="Myriad Pro"/>
          <w:sz w:val="22"/>
          <w:szCs w:val="22"/>
        </w:rPr>
        <w:t xml:space="preserve">where </w:t>
      </w:r>
      <w:proofErr w:type="spellStart"/>
      <w:r w:rsidRPr="00AD08D6">
        <w:rPr>
          <w:rFonts w:ascii="Myriad Pro" w:hAnsi="Myriad Pro"/>
          <w:i/>
          <w:iCs/>
          <w:sz w:val="22"/>
          <w:szCs w:val="22"/>
        </w:rPr>
        <w:t>P</w:t>
      </w:r>
      <w:r w:rsidRPr="00AD08D6">
        <w:rPr>
          <w:rFonts w:ascii="Myriad Pro" w:hAnsi="Myriad Pro"/>
          <w:i/>
          <w:iCs/>
          <w:sz w:val="22"/>
          <w:szCs w:val="22"/>
          <w:vertAlign w:val="subscript"/>
        </w:rPr>
        <w:t>new</w:t>
      </w:r>
      <w:proofErr w:type="spellEnd"/>
      <w:r w:rsidRPr="00AD08D6">
        <w:rPr>
          <w:rFonts w:ascii="Myriad Pro" w:hAnsi="Myriad Pro"/>
          <w:i/>
          <w:iCs/>
          <w:sz w:val="22"/>
          <w:szCs w:val="22"/>
          <w:vertAlign w:val="subscript"/>
        </w:rPr>
        <w:t xml:space="preserve"> plants</w:t>
      </w:r>
      <w:r w:rsidRPr="00AD08D6">
        <w:rPr>
          <w:rFonts w:ascii="Myriad Pro" w:hAnsi="Myriad Pro"/>
          <w:i/>
          <w:iCs/>
          <w:sz w:val="22"/>
          <w:szCs w:val="22"/>
        </w:rPr>
        <w:t xml:space="preserve"> </w:t>
      </w:r>
      <w:r w:rsidRPr="00CB6233">
        <w:rPr>
          <w:rFonts w:ascii="Myriad Pro" w:hAnsi="Myriad Pro"/>
          <w:sz w:val="22"/>
          <w:szCs w:val="22"/>
        </w:rPr>
        <w:t xml:space="preserve">is the amount of power produced from the hydro station (variable), </w:t>
      </w:r>
      <w:r w:rsidRPr="00AD08D6">
        <w:rPr>
          <w:rFonts w:ascii="Myriad Pro" w:hAnsi="Myriad Pro"/>
          <w:i/>
          <w:iCs/>
          <w:sz w:val="22"/>
          <w:szCs w:val="22"/>
        </w:rPr>
        <w:t xml:space="preserve">D </w:t>
      </w:r>
      <w:r w:rsidRPr="00CB6233">
        <w:rPr>
          <w:rFonts w:ascii="Myriad Pro" w:hAnsi="Myriad Pro"/>
          <w:sz w:val="22"/>
          <w:szCs w:val="22"/>
        </w:rPr>
        <w:t xml:space="preserve">is the transmission distance from hydropower plants to power consumption points (variable) and </w:t>
      </w:r>
      <w:r w:rsidRPr="00AD08D6">
        <w:rPr>
          <w:rFonts w:ascii="Myriad Pro" w:hAnsi="Myriad Pro"/>
          <w:i/>
          <w:iCs/>
          <w:sz w:val="22"/>
          <w:szCs w:val="22"/>
        </w:rPr>
        <w:t>α</w:t>
      </w:r>
      <w:r w:rsidRPr="00CB6233">
        <w:rPr>
          <w:rFonts w:ascii="Myriad Pro" w:hAnsi="Myriad Pro"/>
          <w:sz w:val="22"/>
          <w:szCs w:val="22"/>
        </w:rPr>
        <w:t xml:space="preserve"> is a parameter related to the cost of connecting transmission lines.</w:t>
      </w:r>
    </w:p>
    <w:p w14:paraId="76F1A477" w14:textId="67EECE70" w:rsidR="00CB6233" w:rsidRPr="00CB6233" w:rsidRDefault="00CB6233" w:rsidP="00CB6233">
      <w:pPr>
        <w:pStyle w:val="SMText"/>
        <w:ind w:firstLine="0"/>
        <w:rPr>
          <w:rFonts w:ascii="Myriad Pro" w:hAnsi="Myriad Pro"/>
          <w:sz w:val="22"/>
          <w:szCs w:val="22"/>
        </w:rPr>
      </w:pPr>
      <w:r w:rsidRPr="00CB6233">
        <w:rPr>
          <w:rFonts w:ascii="Myriad Pro" w:hAnsi="Myriad Pro"/>
          <w:sz w:val="22"/>
          <w:szCs w:val="22"/>
        </w:rPr>
        <w:t xml:space="preserve">The transmission cost represents the total cost of constructing transmission lines connecting new hydropower plants to an existing power transmission hub. A connecting transmission line cost of 1 </w:t>
      </w:r>
      <w:bookmarkStart w:id="5" w:name="_Hlk19950116"/>
      <w:r w:rsidRPr="00CB6233">
        <w:rPr>
          <w:rFonts w:ascii="Myriad Pro" w:hAnsi="Myriad Pro" w:hint="eastAsia"/>
          <w:sz w:val="22"/>
          <w:szCs w:val="22"/>
        </w:rPr>
        <w:t>$</w:t>
      </w:r>
      <w:r w:rsidRPr="00CB6233">
        <w:rPr>
          <w:rFonts w:ascii="Myriad Pro" w:hAnsi="Myriad Pro"/>
          <w:sz w:val="22"/>
          <w:szCs w:val="22"/>
        </w:rPr>
        <w:t>/</w:t>
      </w:r>
      <w:bookmarkEnd w:id="5"/>
      <w:r w:rsidRPr="00CB6233">
        <w:rPr>
          <w:rFonts w:ascii="Myriad Pro" w:hAnsi="Myriad Pro"/>
          <w:sz w:val="22"/>
          <w:szCs w:val="22"/>
        </w:rPr>
        <w:t xml:space="preserve">km-kW is used assuming an economic lifetime of 40 years </w:t>
      </w:r>
      <w:r w:rsidRPr="00CB6233">
        <w:rPr>
          <w:rFonts w:ascii="Myriad Pro" w:hAnsi="Myriad Pro"/>
          <w:sz w:val="22"/>
          <w:szCs w:val="22"/>
        </w:rPr>
        <w:fldChar w:fldCharType="begin" w:fldLock="1"/>
      </w:r>
      <w:r w:rsidR="004A635C">
        <w:rPr>
          <w:rFonts w:ascii="Myriad Pro" w:hAnsi="Myriad Pro"/>
          <w:sz w:val="22"/>
          <w:szCs w:val="22"/>
        </w:rPr>
        <w:instrText>ADDIN CSL_CITATION {"citationItems":[{"id":"ITEM-1","itemData":{"DOI":"10.1016/j.energy.2018.09.034","ISBN":"0360-5442","ISSN":"03605442","abstract":"This work investigates a power dispatch system that aims to supply the power demand of the EU and Western Balkans (EUWB) based on low-carbon generation units, enabled by the expansion of biomass, solar, and wind based electricity. A spatially explicit techno-economic optimization tool simulates the EUWB power sector to explore the dispatch of new renewable electricity capacity on a EUWB scale, under ambitious CO2emission policies. The results show that utility-scale deployment of renewable electricity is feasible and can contribute about 9–39% of the total generation mix, for a carbon price range of 0–200 €/tCO2and with the existing capacities of the cross-border transmission network. Even without any explicit carbon incentive (carbon price of 0 €/tCO2), more than 35% of the variable power in the most ambitious CO2mitigation scenario (carbon price of 200 €/tCO2) would be economically feasible to deploy. Spatial assessment of bio-electricity potential (based on forest and agriculture feedstock) showed limited presence in the optimal generation mix (0–6%), marginalizing its effect as baseload. Expansion of the existing cross-border transmission capacities helps even out the variability of solar and wind technologies, but may also result in lower installed RE capacity in favor of state-of-the-art natural gas with relatively low sensitivity to increasing carbon taxes. A sensitivity analysis of the investment cost, even under a low-investment scenario and at the high end of the CO2price range, showed natural gas remains at around 11% of the total generation, emphasizing how costly it would be to achieve the final percentages toward a 100% renewable system.","author":[{"dropping-particle":"","family":"Mesfun","given":"Sennai","non-dropping-particle":"","parse-names":false,"suffix":""},{"dropping-particle":"","family":"Leduc","given":"Sylvain","non-dropping-particle":"","parse-names":false,"suffix":""},{"dropping-particle":"","family":"Patrizio","given":"Piera","non-dropping-particle":"","parse-names":false,"suffix":""},{"dropping-particle":"","family":"Wetterlund","given":"Elisabeth","non-dropping-particle":"","parse-names":false,"suffix":""},{"dropping-particle":"","family":"Mendoza-Ponce","given":"Alma","non-dropping-particle":"","parse-names":false,"suffix":""},{"dropping-particle":"","family":"Lammens","given":"Tijs","non-dropping-particle":"","parse-names":false,"suffix":""},{"dropping-particle":"","family":"Staritsky","given":"Igor","non-dropping-particle":"","parse-names":false,"suffix":""},{"dropping-particle":"","family":"Elbersen","given":"Berien","non-dropping-particle":"","parse-names":false,"suffix":""},{"dropping-particle":"","family":"Lundgren","given":"Joakim","non-dropping-particle":"","parse-names":false,"suffix":""},{"dropping-particle":"","family":"Kraxner","given":"Florian","non-dropping-particle":"","parse-names":false,"suffix":""}],"container-title":"Energy","id":"ITEM-1","issued":{"date-parts":[["2018"]]},"page":"676-693","publisher":"Elsevier Ltd","title":"Spatio-temporal assessment of integrating intermittent electricity in the EU and Western Balkans power sector under ambitious CO2emission policies","type":"article-journal","volume":"164"},"uris":["http://www.mendeley.com/documents/?uuid=54b68a6e-fc57-4d25-baf7-534642a8b05e"]}],"mendeley":{"formattedCitation":"(Mesfun et al., 2018)","plainTextFormattedCitation":"(Mesfun et al., 2018)","previouslyFormattedCitation":"(Mesfun et al., 2018)"},"properties":{"noteIndex":0},"schema":"https://github.com/citation-style-language/schema/raw/master/csl-citation.json"}</w:instrText>
      </w:r>
      <w:r w:rsidRPr="00CB6233">
        <w:rPr>
          <w:rFonts w:ascii="Myriad Pro" w:hAnsi="Myriad Pro"/>
          <w:sz w:val="22"/>
          <w:szCs w:val="22"/>
        </w:rPr>
        <w:fldChar w:fldCharType="separate"/>
      </w:r>
      <w:r w:rsidRPr="00CB6233">
        <w:rPr>
          <w:rFonts w:ascii="Myriad Pro" w:hAnsi="Myriad Pro"/>
          <w:noProof/>
          <w:sz w:val="22"/>
          <w:szCs w:val="22"/>
        </w:rPr>
        <w:t>(Mesfun et al., 2018)</w:t>
      </w:r>
      <w:r w:rsidRPr="00CB6233">
        <w:rPr>
          <w:rFonts w:ascii="Myriad Pro" w:hAnsi="Myriad Pro"/>
          <w:sz w:val="22"/>
          <w:szCs w:val="22"/>
        </w:rPr>
        <w:fldChar w:fldCharType="end"/>
      </w:r>
      <w:r w:rsidRPr="00CB6233">
        <w:rPr>
          <w:rFonts w:ascii="Myriad Pro" w:hAnsi="Myriad Pro"/>
          <w:sz w:val="22"/>
          <w:szCs w:val="22"/>
        </w:rPr>
        <w:t xml:space="preserve">. The distance between the potential hydropower plant sites and the nearest hub is calculated by a network map of hub routes, which is parameterized in the model for cost estimation. This method has been described in detail by Leduc </w:t>
      </w:r>
      <w:r w:rsidRPr="00CB6233">
        <w:rPr>
          <w:rFonts w:ascii="Myriad Pro" w:hAnsi="Myriad Pro"/>
          <w:sz w:val="22"/>
          <w:szCs w:val="22"/>
        </w:rPr>
        <w:fldChar w:fldCharType="begin" w:fldLock="1"/>
      </w:r>
      <w:r w:rsidRPr="00CB6233">
        <w:rPr>
          <w:rFonts w:ascii="Myriad Pro" w:hAnsi="Myriad Pro"/>
          <w:sz w:val="22"/>
          <w:szCs w:val="22"/>
        </w:rPr>
        <w:instrText>ADDIN CSL_CITATION {"citationItems":[{"id":"ITEM-1","itemData":{"DOI":"ISBN 978-91-86233-48-8, ISSN 1402-1544","ISBN":"9789186233488","ISSN":"1402-1544","author":[{"dropping-particle":"","family":"Leduc","given":"Sylvain","non-dropping-particle":"","parse-names":false,"suffix":""}],"container-title":"Doctoral thesis","id":"ITEM-1","issued":{"date-parts":[["2009"]]},"title":"Development of an optimization model for the location of biofuel production plants, PhD Thesis","type":"book"},"uris":["http://www.mendeley.com/documents/?uuid=15986e3c-51f7-463a-a128-136872e848cc"]}],"mendeley":{"formattedCitation":"(Sylvain Leduc, 2009)","manualFormatting":"(2009)","plainTextFormattedCitation":"(Sylvain Leduc, 2009)","previouslyFormattedCitation":"(Sylvain Leduc, 2009)"},"properties":{"noteIndex":0},"schema":"https://github.com/citation-style-language/schema/raw/master/csl-citation.json"}</w:instrText>
      </w:r>
      <w:r w:rsidRPr="00CB6233">
        <w:rPr>
          <w:rFonts w:ascii="Myriad Pro" w:hAnsi="Myriad Pro"/>
          <w:sz w:val="22"/>
          <w:szCs w:val="22"/>
        </w:rPr>
        <w:fldChar w:fldCharType="separate"/>
      </w:r>
      <w:r w:rsidRPr="00CB6233">
        <w:rPr>
          <w:rFonts w:ascii="Myriad Pro" w:hAnsi="Myriad Pro"/>
          <w:noProof/>
          <w:sz w:val="22"/>
          <w:szCs w:val="22"/>
        </w:rPr>
        <w:t>(2009)</w:t>
      </w:r>
      <w:r w:rsidRPr="00CB6233">
        <w:rPr>
          <w:rFonts w:ascii="Myriad Pro" w:hAnsi="Myriad Pro"/>
          <w:sz w:val="22"/>
          <w:szCs w:val="22"/>
        </w:rPr>
        <w:fldChar w:fldCharType="end"/>
      </w:r>
      <w:r w:rsidRPr="00CB6233">
        <w:rPr>
          <w:rFonts w:ascii="Myriad Pro" w:hAnsi="Myriad Pro"/>
          <w:sz w:val="22"/>
          <w:szCs w:val="22"/>
        </w:rPr>
        <w:t>.</w:t>
      </w:r>
    </w:p>
    <w:bookmarkEnd w:id="4"/>
    <w:p w14:paraId="2F3F5AE6" w14:textId="5B8C44B5" w:rsidR="00CB6233" w:rsidRPr="00CB6233" w:rsidRDefault="00CB6233" w:rsidP="00CB6233">
      <w:pPr>
        <w:pStyle w:val="SMText"/>
        <w:ind w:firstLine="0"/>
        <w:rPr>
          <w:rFonts w:ascii="Myriad Pro" w:hAnsi="Myriad Pro"/>
          <w:sz w:val="22"/>
          <w:szCs w:val="22"/>
        </w:rPr>
      </w:pPr>
      <w:r w:rsidRPr="00CB6233">
        <w:rPr>
          <w:rFonts w:ascii="Myriad Pro" w:hAnsi="Myriad Pro" w:hint="eastAsia"/>
          <w:sz w:val="22"/>
          <w:szCs w:val="22"/>
        </w:rPr>
        <w:t>T</w:t>
      </w:r>
      <w:r w:rsidRPr="00CB6233">
        <w:rPr>
          <w:rFonts w:ascii="Myriad Pro" w:hAnsi="Myriad Pro"/>
          <w:sz w:val="22"/>
          <w:szCs w:val="22"/>
        </w:rPr>
        <w:t xml:space="preserve">he total cost of fossil fuel is the price of fossil fuel (parameter), which is 0.113 $/kWh in Indonesia, multiplied by the amount of fossil </w:t>
      </w:r>
      <w:r w:rsidR="00AD08D6" w:rsidRPr="00CB6233">
        <w:rPr>
          <w:rFonts w:ascii="Myriad Pro" w:hAnsi="Myriad Pro"/>
          <w:sz w:val="22"/>
          <w:szCs w:val="22"/>
        </w:rPr>
        <w:t>fuel-based</w:t>
      </w:r>
      <w:r w:rsidRPr="00CB6233">
        <w:rPr>
          <w:rFonts w:ascii="Myriad Pro" w:hAnsi="Myriad Pro"/>
          <w:sz w:val="22"/>
          <w:szCs w:val="22"/>
        </w:rPr>
        <w:t xml:space="preserve"> electricity, which is a variable.</w:t>
      </w:r>
    </w:p>
    <w:p w14:paraId="28862646" w14:textId="4B10C99F" w:rsidR="00CB6233" w:rsidRDefault="00CB6233" w:rsidP="00CB6233">
      <w:pPr>
        <w:pStyle w:val="SMText"/>
        <w:ind w:firstLine="0"/>
        <w:rPr>
          <w:rFonts w:ascii="Myriad Pro" w:hAnsi="Myriad Pro"/>
          <w:sz w:val="22"/>
          <w:szCs w:val="22"/>
        </w:rPr>
      </w:pPr>
      <w:r w:rsidRPr="00CB6233">
        <w:rPr>
          <w:rFonts w:ascii="Myriad Pro" w:hAnsi="Myriad Pro"/>
          <w:sz w:val="22"/>
          <w:szCs w:val="22"/>
        </w:rPr>
        <w:t xml:space="preserve">The supply chain emissions </w:t>
      </w:r>
      <w:proofErr w:type="spellStart"/>
      <w:r w:rsidRPr="00AD08D6">
        <w:rPr>
          <w:rFonts w:ascii="Myriad Pro" w:hAnsi="Myriad Pro"/>
          <w:i/>
          <w:iCs/>
          <w:sz w:val="22"/>
          <w:szCs w:val="22"/>
        </w:rPr>
        <w:t>E</w:t>
      </w:r>
      <w:r w:rsidRPr="00AD08D6">
        <w:rPr>
          <w:rFonts w:ascii="Myriad Pro" w:hAnsi="Myriad Pro"/>
          <w:i/>
          <w:iCs/>
          <w:sz w:val="22"/>
          <w:szCs w:val="22"/>
          <w:vertAlign w:val="subscript"/>
        </w:rPr>
        <w:t>supply</w:t>
      </w:r>
      <w:proofErr w:type="spellEnd"/>
      <w:r w:rsidRPr="00AD08D6">
        <w:rPr>
          <w:rFonts w:ascii="Myriad Pro" w:hAnsi="Myriad Pro"/>
          <w:i/>
          <w:iCs/>
          <w:sz w:val="22"/>
          <w:szCs w:val="22"/>
          <w:vertAlign w:val="subscript"/>
        </w:rPr>
        <w:t xml:space="preserve"> chain</w:t>
      </w:r>
      <w:r w:rsidRPr="00CB6233">
        <w:rPr>
          <w:rFonts w:ascii="Myriad Pro" w:hAnsi="Myriad Pro"/>
          <w:sz w:val="22"/>
          <w:szCs w:val="22"/>
        </w:rPr>
        <w:t xml:space="preserve"> includes the emissions of fossil CO</w:t>
      </w:r>
      <w:r w:rsidRPr="00AD08D6">
        <w:rPr>
          <w:rFonts w:ascii="Myriad Pro" w:hAnsi="Myriad Pro"/>
          <w:sz w:val="22"/>
          <w:szCs w:val="22"/>
          <w:vertAlign w:val="subscript"/>
        </w:rPr>
        <w:t>2</w:t>
      </w:r>
      <w:r w:rsidRPr="00CB6233">
        <w:rPr>
          <w:rFonts w:ascii="Myriad Pro" w:hAnsi="Myriad Pro"/>
          <w:sz w:val="22"/>
          <w:szCs w:val="22"/>
        </w:rPr>
        <w:t xml:space="preserve"> from fossil-based power.</w:t>
      </w:r>
      <w:r w:rsidRPr="00AD08D6">
        <w:rPr>
          <w:rFonts w:ascii="Myriad Pro" w:hAnsi="Myriad Pro"/>
          <w:i/>
          <w:iCs/>
          <w:sz w:val="22"/>
          <w:szCs w:val="22"/>
        </w:rPr>
        <w:t xml:space="preserve"> </w:t>
      </w:r>
      <w:proofErr w:type="spellStart"/>
      <w:r w:rsidRPr="00AD08D6">
        <w:rPr>
          <w:rFonts w:ascii="Myriad Pro" w:hAnsi="Myriad Pro"/>
          <w:i/>
          <w:iCs/>
          <w:sz w:val="22"/>
          <w:szCs w:val="22"/>
        </w:rPr>
        <w:t>E</w:t>
      </w:r>
      <w:r w:rsidRPr="00AD08D6">
        <w:rPr>
          <w:rFonts w:ascii="Myriad Pro" w:hAnsi="Myriad Pro"/>
          <w:i/>
          <w:iCs/>
          <w:sz w:val="22"/>
          <w:szCs w:val="22"/>
          <w:vertAlign w:val="subscript"/>
        </w:rPr>
        <w:t>supply</w:t>
      </w:r>
      <w:proofErr w:type="spellEnd"/>
      <w:r w:rsidRPr="00AD08D6">
        <w:rPr>
          <w:rFonts w:ascii="Myriad Pro" w:hAnsi="Myriad Pro"/>
          <w:i/>
          <w:iCs/>
          <w:sz w:val="22"/>
          <w:szCs w:val="22"/>
          <w:vertAlign w:val="subscript"/>
        </w:rPr>
        <w:t xml:space="preserve"> chain</w:t>
      </w:r>
      <w:r w:rsidRPr="00AD08D6">
        <w:rPr>
          <w:rFonts w:ascii="Myriad Pro" w:hAnsi="Myriad Pro"/>
          <w:i/>
          <w:iCs/>
          <w:sz w:val="22"/>
          <w:szCs w:val="22"/>
        </w:rPr>
        <w:t xml:space="preserve"> </w:t>
      </w:r>
      <w:r w:rsidRPr="00CB6233">
        <w:rPr>
          <w:rFonts w:ascii="Myriad Pro" w:hAnsi="Myriad Pro"/>
          <w:sz w:val="22"/>
          <w:szCs w:val="22"/>
        </w:rPr>
        <w:t xml:space="preserve">is the emission factor (parameter) multiplied by the amount of fossil fuel (variable) used. The cost of emitting </w:t>
      </w:r>
      <w:r w:rsidR="00AD08D6" w:rsidRPr="00CB6233">
        <w:rPr>
          <w:rFonts w:ascii="Myriad Pro" w:hAnsi="Myriad Pro"/>
          <w:sz w:val="22"/>
          <w:szCs w:val="22"/>
        </w:rPr>
        <w:t>CO</w:t>
      </w:r>
      <w:r w:rsidR="00AD08D6" w:rsidRPr="00AD08D6">
        <w:rPr>
          <w:rFonts w:ascii="Myriad Pro" w:hAnsi="Myriad Pro"/>
          <w:sz w:val="22"/>
          <w:szCs w:val="22"/>
          <w:vertAlign w:val="subscript"/>
        </w:rPr>
        <w:t>2</w:t>
      </w:r>
      <w:r w:rsidRPr="00CB6233">
        <w:rPr>
          <w:rFonts w:ascii="Myriad Pro" w:hAnsi="Myriad Pro"/>
          <w:sz w:val="22"/>
          <w:szCs w:val="22"/>
        </w:rPr>
        <w:t xml:space="preserve"> (C</w:t>
      </w:r>
      <w:r w:rsidRPr="00AD08D6">
        <w:rPr>
          <w:rFonts w:ascii="Myriad Pro" w:hAnsi="Myriad Pro"/>
          <w:sz w:val="22"/>
          <w:szCs w:val="22"/>
          <w:vertAlign w:val="subscript"/>
        </w:rPr>
        <w:t>CO2</w:t>
      </w:r>
      <w:r w:rsidRPr="00CB6233">
        <w:rPr>
          <w:rFonts w:ascii="Myriad Pro" w:hAnsi="Myriad Pro"/>
          <w:sz w:val="22"/>
          <w:szCs w:val="22"/>
        </w:rPr>
        <w:t xml:space="preserve">) varies greatly among countries </w:t>
      </w:r>
      <w:r w:rsidRPr="00CB6233">
        <w:rPr>
          <w:rFonts w:ascii="Myriad Pro" w:hAnsi="Myriad Pro"/>
          <w:sz w:val="22"/>
          <w:szCs w:val="22"/>
        </w:rPr>
        <w:fldChar w:fldCharType="begin" w:fldLock="1"/>
      </w:r>
      <w:r w:rsidRPr="00CB6233">
        <w:rPr>
          <w:rFonts w:ascii="Myriad Pro" w:hAnsi="Myriad Pro"/>
          <w:sz w:val="22"/>
          <w:szCs w:val="22"/>
        </w:rPr>
        <w:instrText>ADDIN CSL_CITATION {"citationItems":[{"id":"ITEM-1","itemData":{"DOI":"10.1016/j.renene.2017.02.020","ISSN":"18790682","abstract":"Large-scale deployment of renewable energy sources (RES) plays a central role in reducing CO2emissions from energy supply systems, but intermittency from solar and wind technologies presents integration challenges. High temperature co-electrolysis of steam and CO2in power-to-gas (PtG) and power-to-liquid (PtL) configurations could utilize excess intermittent electricity by converting it into chemical fuels. These can then be directly consumed in other sectors, such as transportation and heating, or used as power storage. Here, we investigate the impact of carbon policy and fossil fuel prices on the economic and engineering potential of PtG and PtL systems as storage for intermittent renewable electricity and as a source of low-carbon heating and transportation energy in the Alpine region. We employ a spatially and temporally explicit optimization approach of RES, PtG, PtL and fossil technologies in the electricity, heating, and transportation sectors, using the BeWhere model. Results indicate that large-scale deployment of PtG and PtL technologies for producing chemical fuels from excess intermittent electricity is feasible, particularly when incentivized by carbon prices. Depending on carbon and fossil fuel price, 0.15–15 million tonnes/year of captured CO2can be used in the synthesis of the chemical fuels, displacing up to 11% of current fossil fuel use in transportation. By providing a physical link between the electricity, transportation, and heating sectors, PtG and PtL technologies can enable greater integration of RES into the energy supply chain globally.","author":[{"dropping-particle":"","family":"Mesfun","given":"Sennai","non-dropping-particle":"","parse-names":false,"suffix":""},{"dropping-particle":"","family":"Sanchez","given":"Daniel L.","non-dropping-particle":"","parse-names":false,"suffix":""},{"dropping-particle":"","family":"Leduc","given":"Sylvain","non-dropping-particle":"","parse-names":false,"suffix":""},{"dropping-particle":"","family":"Wetterlund","given":"Elisabeth","non-dropping-particle":"","parse-names":false,"suffix":""},{"dropping-particle":"","family":"Lundgren","given":"Joakim","non-dropping-particle":"","parse-names":false,"suffix":""},{"dropping-particle":"","family":"Biberacher","given":"Markus","non-dropping-particle":"","parse-names":false,"suffix":""},{"dropping-particle":"","family":"Kraxner","given":"Florian","non-dropping-particle":"","parse-names":false,"suffix":""}],"container-title":"Renewable Energy","id":"ITEM-1","issued":{"date-parts":[["2017"]]},"page":"361-372","publisher":"Elsevier Ltd","title":"Power-to-gas and power-to-liquid for managing renewable electricity intermittency in the Alpine Region","type":"article-journal","volume":"107"},"uris":["http://www.mendeley.com/documents/?uuid=1c607db7-22a9-4e03-9a60-bf2d43593e3e"]}],"mendeley":{"formattedCitation":"(Mesfun et al., 2017)","plainTextFormattedCitation":"(Mesfun et al., 2017)","previouslyFormattedCitation":"(Mesfun et al., 2017)"},"properties":{"noteIndex":0},"schema":"https://github.com/citation-style-language/schema/raw/master/csl-citation.json"}</w:instrText>
      </w:r>
      <w:r w:rsidRPr="00CB6233">
        <w:rPr>
          <w:rFonts w:ascii="Myriad Pro" w:hAnsi="Myriad Pro"/>
          <w:sz w:val="22"/>
          <w:szCs w:val="22"/>
        </w:rPr>
        <w:fldChar w:fldCharType="separate"/>
      </w:r>
      <w:r w:rsidRPr="00CB6233">
        <w:rPr>
          <w:rFonts w:ascii="Myriad Pro" w:hAnsi="Myriad Pro"/>
          <w:noProof/>
          <w:sz w:val="22"/>
          <w:szCs w:val="22"/>
        </w:rPr>
        <w:t>(Mesfun et al., 2017)</w:t>
      </w:r>
      <w:r w:rsidRPr="00CB6233">
        <w:rPr>
          <w:rFonts w:ascii="Myriad Pro" w:hAnsi="Myriad Pro"/>
          <w:sz w:val="22"/>
          <w:szCs w:val="22"/>
        </w:rPr>
        <w:fldChar w:fldCharType="end"/>
      </w:r>
      <w:r w:rsidRPr="00CB6233">
        <w:rPr>
          <w:rFonts w:ascii="Myriad Pro" w:hAnsi="Myriad Pro"/>
          <w:sz w:val="22"/>
          <w:szCs w:val="22"/>
        </w:rPr>
        <w:t xml:space="preserve">, and our simulation used 10 $/t </w:t>
      </w:r>
      <w:r w:rsidR="00AD08D6" w:rsidRPr="00CB6233">
        <w:rPr>
          <w:rFonts w:ascii="Myriad Pro" w:hAnsi="Myriad Pro"/>
          <w:sz w:val="22"/>
          <w:szCs w:val="22"/>
        </w:rPr>
        <w:t>CO</w:t>
      </w:r>
      <w:r w:rsidR="00AD08D6" w:rsidRPr="00AD08D6">
        <w:rPr>
          <w:rFonts w:ascii="Myriad Pro" w:hAnsi="Myriad Pro"/>
          <w:sz w:val="22"/>
          <w:szCs w:val="22"/>
          <w:vertAlign w:val="subscript"/>
        </w:rPr>
        <w:t>2</w:t>
      </w:r>
      <w:r w:rsidRPr="00CB6233">
        <w:rPr>
          <w:rFonts w:ascii="Myriad Pro" w:hAnsi="Myriad Pro"/>
          <w:sz w:val="22"/>
          <w:szCs w:val="22"/>
        </w:rPr>
        <w:t xml:space="preserve"> </w:t>
      </w:r>
      <w:r w:rsidRPr="00CB6233">
        <w:rPr>
          <w:rFonts w:ascii="Myriad Pro" w:hAnsi="Myriad Pro"/>
          <w:sz w:val="22"/>
          <w:szCs w:val="22"/>
        </w:rPr>
        <w:fldChar w:fldCharType="begin" w:fldLock="1"/>
      </w:r>
      <w:r w:rsidRPr="00CB6233">
        <w:rPr>
          <w:rFonts w:ascii="Myriad Pro" w:hAnsi="Myriad Pro"/>
          <w:sz w:val="22"/>
          <w:szCs w:val="22"/>
        </w:rPr>
        <w:instrText>ADDIN CSL_CITATION {"citationItems":[{"id":"ITEM-1","itemData":{"DOI":"10.1016/j.ecolecon.2011.07.022","ISSN":"09218009","abstract":"A carbon tax is an efficient economic instrument to reduce emissions of carbon dioxide released from fossil fuel burning. If designed properly, it could also help significantly to promote renewable energy. Using a multi-sector, multi-country computable general equilibrium model this study investigates under what circumstances a carbon tax would help stimulate penetration of biofuels into the energy supply mix for road transportation in various countries and regions around the world. This study shows that a carbon tax cum biofuel subsidy policy, where a carbon tax is introduced to fossil fuels and part of the tax revenue is used to finance the biofuel subsidy, would significantly help stimulate market penetration of biofuels. On the other hand, a carbon tax alone policy, where the entire tax revenue is recycled to households through a lump-sum transfer, does not help stimulate biofuels significantly even at higher tax rates. Although the carbon tax cum subsidy policy would cause higher loss in economic output at the global level as compared to the carbon tax alone policy, the incremental loss is relatively small. The key policy insight drawn from the study is that if a carbon tax were to be implemented in an economy for the purpose of climate change mitigation, recycling part of its revenue to finance biofuel subsidies would significantly help stimulate biofuels. © 2011 Elsevier B.V.","author":[{"dropping-particle":"","family":"Timilsina","given":"Govinda R.","non-dropping-particle":"","parse-names":false,"suffix":""},{"dropping-particle":"","family":"Csordás","given":"Stefan","non-dropping-particle":"","parse-names":false,"suffix":""},{"dropping-particle":"","family":"Mevel","given":"Simon","non-dropping-particle":"","parse-names":false,"suffix":""}],"container-title":"Ecological Economics","id":"ITEM-1","issue":"12","issued":{"date-parts":[["2011","10","15"]]},"page":"2400-2415","publisher":"Elsevier","title":"When does a carbon tax on fossil fuels stimulate biofuels?","type":"article-journal","volume":"70"},"uris":["http://www.mendeley.com/documents/?uuid=ea3890b3-2336-3445-bd92-803ea16fc47d"]}],"mendeley":{"formattedCitation":"(Timilsina et al., 2011)","plainTextFormattedCitation":"(Timilsina et al., 2011)","previouslyFormattedCitation":"(Timilsina et al., 2011)"},"properties":{"noteIndex":0},"schema":"https://github.com/citation-style-language/schema/raw/master/csl-citation.json"}</w:instrText>
      </w:r>
      <w:r w:rsidRPr="00CB6233">
        <w:rPr>
          <w:rFonts w:ascii="Myriad Pro" w:hAnsi="Myriad Pro"/>
          <w:sz w:val="22"/>
          <w:szCs w:val="22"/>
        </w:rPr>
        <w:fldChar w:fldCharType="separate"/>
      </w:r>
      <w:r w:rsidRPr="00CB6233">
        <w:rPr>
          <w:rFonts w:ascii="Myriad Pro" w:hAnsi="Myriad Pro"/>
          <w:noProof/>
          <w:sz w:val="22"/>
          <w:szCs w:val="22"/>
        </w:rPr>
        <w:t>(Timilsina et al., 2011)</w:t>
      </w:r>
      <w:r w:rsidRPr="00CB6233">
        <w:rPr>
          <w:rFonts w:ascii="Myriad Pro" w:hAnsi="Myriad Pro"/>
          <w:sz w:val="22"/>
          <w:szCs w:val="22"/>
        </w:rPr>
        <w:fldChar w:fldCharType="end"/>
      </w:r>
      <w:r w:rsidRPr="00CB6233">
        <w:rPr>
          <w:rFonts w:ascii="Myriad Pro" w:hAnsi="Myriad Pro"/>
          <w:sz w:val="22"/>
          <w:szCs w:val="22"/>
        </w:rPr>
        <w:t>.</w:t>
      </w:r>
    </w:p>
    <w:p w14:paraId="5E13AC3B" w14:textId="3076EF93" w:rsidR="00AD08D6" w:rsidRDefault="00AD08D6" w:rsidP="00CB6233">
      <w:pPr>
        <w:pStyle w:val="SMText"/>
        <w:ind w:firstLine="0"/>
        <w:rPr>
          <w:rFonts w:ascii="Myriad Pro" w:hAnsi="Myriad Pro"/>
          <w:sz w:val="22"/>
          <w:szCs w:val="22"/>
        </w:rPr>
      </w:pPr>
    </w:p>
    <w:p w14:paraId="51EB20F6" w14:textId="57C594BB" w:rsidR="00AD08D6" w:rsidRPr="005314B5" w:rsidRDefault="00AD08D6" w:rsidP="00AD08D6">
      <w:pPr>
        <w:pStyle w:val="SMHeading"/>
        <w:rPr>
          <w:rFonts w:ascii="Myriad Pro" w:hAnsi="Myriad Pro"/>
          <w:sz w:val="22"/>
          <w:szCs w:val="22"/>
        </w:rPr>
      </w:pPr>
      <w:r w:rsidRPr="005314B5">
        <w:rPr>
          <w:rFonts w:ascii="Myriad Pro" w:hAnsi="Myriad Pro"/>
          <w:sz w:val="22"/>
          <w:szCs w:val="22"/>
        </w:rPr>
        <w:t>Text</w:t>
      </w:r>
      <w:r>
        <w:rPr>
          <w:rFonts w:ascii="Myriad Pro" w:hAnsi="Myriad Pro"/>
          <w:sz w:val="22"/>
          <w:szCs w:val="22"/>
        </w:rPr>
        <w:t xml:space="preserve"> </w:t>
      </w:r>
      <w:r w:rsidR="00DD25D3">
        <w:rPr>
          <w:rFonts w:ascii="Myriad Pro" w:hAnsi="Myriad Pro"/>
          <w:sz w:val="22"/>
          <w:szCs w:val="22"/>
        </w:rPr>
        <w:t>S4</w:t>
      </w:r>
    </w:p>
    <w:p w14:paraId="6B8886C5" w14:textId="03C2F087" w:rsidR="00AD08D6" w:rsidRPr="00AD08D6" w:rsidRDefault="00AD08D6" w:rsidP="00AD08D6">
      <w:pPr>
        <w:pStyle w:val="SMText"/>
        <w:ind w:firstLine="0"/>
        <w:rPr>
          <w:rFonts w:ascii="Myriad Pro" w:hAnsi="Myriad Pro"/>
          <w:sz w:val="22"/>
          <w:szCs w:val="22"/>
        </w:rPr>
      </w:pPr>
      <w:bookmarkStart w:id="6" w:name="_Hlk20751678"/>
      <w:r w:rsidRPr="00AD08D6">
        <w:rPr>
          <w:rFonts w:ascii="Myriad Pro" w:hAnsi="Myriad Pro"/>
          <w:sz w:val="22"/>
          <w:szCs w:val="22"/>
        </w:rPr>
        <w:t xml:space="preserve">We ran the historical period hydropower plant distribution and summarized the hydropower potential at the current existing hydropower plant sites in Sumatra. </w:t>
      </w:r>
      <w:bookmarkStart w:id="7" w:name="_Hlk20751321"/>
      <w:r w:rsidRPr="00AD08D6">
        <w:rPr>
          <w:rFonts w:ascii="Myriad Pro" w:hAnsi="Myriad Pro"/>
          <w:sz w:val="22"/>
          <w:szCs w:val="22"/>
        </w:rPr>
        <w:t xml:space="preserve">We found that the simulated plant capacities provided by the </w:t>
      </w:r>
      <w:proofErr w:type="spellStart"/>
      <w:r w:rsidRPr="00AD08D6">
        <w:rPr>
          <w:rFonts w:ascii="Myriad Pro" w:hAnsi="Myriad Pro"/>
          <w:sz w:val="22"/>
          <w:szCs w:val="22"/>
        </w:rPr>
        <w:t>BeWhere</w:t>
      </w:r>
      <w:proofErr w:type="spellEnd"/>
      <w:r w:rsidRPr="00AD08D6">
        <w:rPr>
          <w:rFonts w:ascii="Myriad Pro" w:hAnsi="Myriad Pro"/>
          <w:sz w:val="22"/>
          <w:szCs w:val="22"/>
        </w:rPr>
        <w:t xml:space="preserve"> model were higher than the installed capacities of the exiting hydropower plants. Our simulated results are the potential hydropower capacities, not the actual installed capacities.</w:t>
      </w:r>
      <w:bookmarkEnd w:id="7"/>
      <w:r w:rsidRPr="00AD08D6">
        <w:rPr>
          <w:rFonts w:ascii="Myriad Pro" w:hAnsi="Myriad Pro"/>
          <w:sz w:val="22"/>
          <w:szCs w:val="22"/>
        </w:rPr>
        <w:t xml:space="preserve"> The development of micro- and mini- hydropower plants is popular in Indonesia because large-scale power plants are not safe to build due to environmental issues, such as the safety of fish </w:t>
      </w:r>
      <w:bookmarkStart w:id="8" w:name="_Hlk20751445"/>
      <w:bookmarkStart w:id="9" w:name="_Hlk20751457"/>
      <w:r w:rsidRPr="00AD08D6">
        <w:rPr>
          <w:rFonts w:ascii="Myriad Pro" w:hAnsi="Myriad Pro"/>
          <w:sz w:val="22"/>
          <w:szCs w:val="22"/>
        </w:rPr>
        <w:fldChar w:fldCharType="begin" w:fldLock="1"/>
      </w:r>
      <w:r w:rsidRPr="00AD08D6">
        <w:rPr>
          <w:rFonts w:ascii="Myriad Pro" w:hAnsi="Myriad Pro"/>
          <w:sz w:val="22"/>
          <w:szCs w:val="22"/>
        </w:rPr>
        <w:instrText>ADDIN CSL_CITATION {"citationItems":[{"id":"ITEM-1","itemData":{"DOI":"10.1016/j.rser.2011.12.007","ISBN":"1364-0321","ISSN":"13640321","abstract":"The global energy consumption is likely to grow faster than the population growth. The fuel consumption was growing from 6630 million tons of oil equivalents (Mtoe) in 1980 to 11,163 Mtoe in 2009. This projected consumption will increase 1.5% per year until 2030 and reach 16,900 Mtoe and the main drivers of this growth are mostly developing countries in Asia. Indonesia is one of the developing countries and energy supply is an important factor for all-around development. The country's energy consumption still depends on non-renewable energy such as crude oil, coal and natural gas as sources of energy. Utilization of fossil fuel continuously contributes to huge amount of greenhouse gases emission that leads to climate change. Facing such an unfavorable situation, the government of Indonesia prioritizes on energy supply securities by diversification of energy resources. The energy mixes in Indonesia based on five main resources; these are crude oil, natural gas, coal, hydropower, and renewable energy. Although the country encourages utilizing renewable energy, the contribution is only around 3%. Considering natural condition and geography, this country is blessed with great potential of renewable energy such as solar energy, wind energy, micro hydro and biomass energy. Noting the potential of renewable and sustainable energy resources in the country, the government must pay more attention on how to utilize it. Many efforts have been done to promote renewable energy such as to create energy policy and regulations, yet it still did not give any satisfactory result. Government, non-government agencies and the public should take a more proactive step to promote and use renewable energy in order to achieve the secure and environmentally sustainable energy resources. © 2011 Elsevier Ltd. All rights reserved.","author":[{"dropping-particle":"","family":"Hasan","given":"M. H.","non-dropping-particle":"","parse-names":false,"suffix":""},{"dropping-particle":"","family":"Mahlia","given":"T. M.I.","non-dropping-particle":"","parse-names":false,"suffix":""},{"dropping-particle":"","family":"Nur","given":"Hadi","non-dropping-particle":"","parse-names":false,"suffix":""}],"container-title":"Renewable and Sustainable Energy Reviews","id":"ITEM-1","issue":"4","issued":{"date-parts":[["2012"]]},"page":"2316-2328","publisher":"Elsevier Ltd","title":"A review on energy scenario and sustainable energy in Indonesia","type":"article-journal","volume":"16"},"uris":["http://www.mendeley.com/documents/?uuid=77784430-624a-41ed-b2fb-c59db1b32185"]}],"mendeley":{"formattedCitation":"(Hasan et al., 2012)","plainTextFormattedCitation":"(Hasan et al., 2012)","previouslyFormattedCitation":"(Hasan et al., 2012)"},"properties":{"noteIndex":0},"schema":"https://github.com/citation-style-language/schema/raw/master/csl-citation.json"}</w:instrText>
      </w:r>
      <w:r w:rsidRPr="00AD08D6">
        <w:rPr>
          <w:rFonts w:ascii="Myriad Pro" w:hAnsi="Myriad Pro"/>
          <w:sz w:val="22"/>
          <w:szCs w:val="22"/>
        </w:rPr>
        <w:fldChar w:fldCharType="separate"/>
      </w:r>
      <w:r w:rsidRPr="00AD08D6">
        <w:rPr>
          <w:rFonts w:ascii="Myriad Pro" w:hAnsi="Myriad Pro"/>
          <w:noProof/>
          <w:sz w:val="22"/>
          <w:szCs w:val="22"/>
        </w:rPr>
        <w:t>(Hasan et al., 2012)</w:t>
      </w:r>
      <w:r w:rsidRPr="00AD08D6">
        <w:rPr>
          <w:rFonts w:ascii="Myriad Pro" w:hAnsi="Myriad Pro"/>
          <w:sz w:val="22"/>
          <w:szCs w:val="22"/>
        </w:rPr>
        <w:fldChar w:fldCharType="end"/>
      </w:r>
      <w:bookmarkEnd w:id="8"/>
      <w:r w:rsidRPr="00AD08D6">
        <w:rPr>
          <w:rFonts w:ascii="Myriad Pro" w:hAnsi="Myriad Pro"/>
          <w:sz w:val="22"/>
          <w:szCs w:val="22"/>
        </w:rPr>
        <w:t>.</w:t>
      </w:r>
      <w:bookmarkEnd w:id="9"/>
      <w:r w:rsidRPr="00AD08D6">
        <w:rPr>
          <w:rFonts w:ascii="Myriad Pro" w:hAnsi="Myriad Pro"/>
          <w:sz w:val="22"/>
          <w:szCs w:val="22"/>
        </w:rPr>
        <w:t xml:space="preserve"> As for simulation result is very close to the installed capacity at the site of Koto Panjang Kampar, it’s because the power demand at Koto Panjang Kampar site is relatively higher than the surrounding area (shown in Figure S4), which cause it is necessary to develop adequately the hydropower resource. On the other hand, the </w:t>
      </w:r>
      <w:proofErr w:type="spellStart"/>
      <w:r w:rsidRPr="00AD08D6">
        <w:rPr>
          <w:rFonts w:ascii="Myriad Pro" w:hAnsi="Myriad Pro"/>
          <w:sz w:val="22"/>
          <w:szCs w:val="22"/>
        </w:rPr>
        <w:t>BeWhere</w:t>
      </w:r>
      <w:proofErr w:type="spellEnd"/>
      <w:r w:rsidRPr="00AD08D6">
        <w:rPr>
          <w:rFonts w:ascii="Myriad Pro" w:hAnsi="Myriad Pro"/>
          <w:sz w:val="22"/>
          <w:szCs w:val="22"/>
        </w:rPr>
        <w:t xml:space="preserve"> model simulated results followed the results from the PCR-GLOWBW. While as we mentioned in </w:t>
      </w:r>
      <w:r w:rsidR="008B4E84">
        <w:rPr>
          <w:rFonts w:ascii="Myriad Pro" w:hAnsi="Myriad Pro"/>
          <w:sz w:val="22"/>
          <w:szCs w:val="22"/>
        </w:rPr>
        <w:t>Text S1</w:t>
      </w:r>
      <w:r w:rsidRPr="00AD08D6">
        <w:rPr>
          <w:rFonts w:ascii="Myriad Pro" w:hAnsi="Myriad Pro"/>
          <w:sz w:val="22"/>
          <w:szCs w:val="22"/>
        </w:rPr>
        <w:t xml:space="preserve">, the PCR-GLOWBW model </w:t>
      </w:r>
      <w:r w:rsidRPr="00AD08D6">
        <w:rPr>
          <w:rFonts w:ascii="Myriad Pro" w:hAnsi="Myriad Pro"/>
          <w:sz w:val="22"/>
          <w:szCs w:val="22"/>
        </w:rPr>
        <w:lastRenderedPageBreak/>
        <w:t>underestimated the discharge (shown in Figure S2), which would cause the underestimation of the hydropower potential capacity in chain.</w:t>
      </w:r>
    </w:p>
    <w:bookmarkEnd w:id="6"/>
    <w:p w14:paraId="67433767" w14:textId="38821D4F" w:rsidR="0066722B" w:rsidRPr="005314B5" w:rsidRDefault="0066722B" w:rsidP="0066722B">
      <w:pPr>
        <w:pStyle w:val="SMHeading"/>
        <w:rPr>
          <w:rFonts w:ascii="Myriad Pro" w:hAnsi="Myriad Pro"/>
          <w:sz w:val="22"/>
          <w:szCs w:val="22"/>
        </w:rPr>
      </w:pPr>
      <w:r w:rsidRPr="005314B5">
        <w:rPr>
          <w:rFonts w:ascii="Myriad Pro" w:hAnsi="Myriad Pro"/>
          <w:sz w:val="22"/>
          <w:szCs w:val="22"/>
        </w:rPr>
        <w:t xml:space="preserve">Table </w:t>
      </w:r>
      <w:r w:rsidR="00DD25D3" w:rsidRPr="005314B5">
        <w:rPr>
          <w:rFonts w:ascii="Myriad Pro" w:hAnsi="Myriad Pro"/>
          <w:sz w:val="22"/>
          <w:szCs w:val="22"/>
        </w:rPr>
        <w:t>S</w:t>
      </w:r>
      <w:r w:rsidR="00DD25D3">
        <w:rPr>
          <w:rFonts w:ascii="Myriad Pro" w:hAnsi="Myriad Pro"/>
          <w:sz w:val="22"/>
          <w:szCs w:val="22"/>
        </w:rPr>
        <w:t>3</w:t>
      </w:r>
      <w:r w:rsidRPr="005314B5">
        <w:rPr>
          <w:rFonts w:ascii="Myriad Pro" w:hAnsi="Myriad Pro"/>
          <w:sz w:val="22"/>
          <w:szCs w:val="22"/>
        </w:rPr>
        <w:t xml:space="preserve">. </w:t>
      </w:r>
      <w:r w:rsidR="00AD08D6" w:rsidRPr="00AD08D6">
        <w:rPr>
          <w:rFonts w:ascii="Myriad Pro" w:hAnsi="Myriad Pro"/>
          <w:b w:val="0"/>
          <w:sz w:val="22"/>
          <w:szCs w:val="22"/>
        </w:rPr>
        <w:t>Comparison of capacities between existing hydropower plants and simulated results</w:t>
      </w:r>
      <w:r w:rsidRPr="005314B5">
        <w:rPr>
          <w:rFonts w:ascii="Myriad Pro" w:hAnsi="Myriad Pro"/>
          <w:b w:val="0"/>
          <w:sz w:val="22"/>
          <w:szCs w:val="22"/>
        </w:rPr>
        <w:t xml:space="preserve">. </w:t>
      </w:r>
      <w:r w:rsidRPr="005314B5">
        <w:rPr>
          <w:rFonts w:ascii="Myriad Pro" w:hAnsi="Myriad Pro"/>
          <w:sz w:val="22"/>
          <w:szCs w:val="22"/>
        </w:rPr>
        <w:t xml:space="preserve"> </w:t>
      </w:r>
    </w:p>
    <w:tbl>
      <w:tblPr>
        <w:tblW w:w="10065" w:type="dxa"/>
        <w:jc w:val="center"/>
        <w:tblLook w:val="04A0" w:firstRow="1" w:lastRow="0" w:firstColumn="1" w:lastColumn="0" w:noHBand="0" w:noVBand="1"/>
      </w:tblPr>
      <w:tblGrid>
        <w:gridCol w:w="2410"/>
        <w:gridCol w:w="979"/>
        <w:gridCol w:w="1318"/>
        <w:gridCol w:w="2552"/>
        <w:gridCol w:w="2835"/>
      </w:tblGrid>
      <w:tr w:rsidR="00AD08D6" w:rsidRPr="004A635C" w14:paraId="3DD8EC00" w14:textId="77777777" w:rsidTr="004A635C">
        <w:trPr>
          <w:cantSplit/>
          <w:trHeight w:val="300"/>
          <w:tblHeader/>
          <w:jc w:val="center"/>
        </w:trPr>
        <w:tc>
          <w:tcPr>
            <w:tcW w:w="7230" w:type="dxa"/>
            <w:gridSpan w:val="4"/>
            <w:tcBorders>
              <w:top w:val="single" w:sz="4" w:space="0" w:color="auto"/>
              <w:left w:val="nil"/>
              <w:bottom w:val="nil"/>
              <w:right w:val="nil"/>
            </w:tcBorders>
            <w:shd w:val="clear" w:color="auto" w:fill="auto"/>
            <w:noWrap/>
            <w:vAlign w:val="center"/>
            <w:hideMark/>
          </w:tcPr>
          <w:p w14:paraId="4011129F"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Existing hydropower plants</w:t>
            </w:r>
          </w:p>
        </w:tc>
        <w:tc>
          <w:tcPr>
            <w:tcW w:w="2835" w:type="dxa"/>
            <w:vMerge w:val="restart"/>
            <w:tcBorders>
              <w:top w:val="single" w:sz="4" w:space="0" w:color="auto"/>
              <w:left w:val="nil"/>
              <w:bottom w:val="nil"/>
              <w:right w:val="nil"/>
            </w:tcBorders>
            <w:shd w:val="clear" w:color="auto" w:fill="auto"/>
            <w:vAlign w:val="center"/>
            <w:hideMark/>
          </w:tcPr>
          <w:p w14:paraId="6A043101"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Simulated potential capacity (MW)</w:t>
            </w:r>
          </w:p>
        </w:tc>
      </w:tr>
      <w:tr w:rsidR="00AD08D6" w:rsidRPr="004A635C" w14:paraId="030DD1CF" w14:textId="77777777" w:rsidTr="004A635C">
        <w:trPr>
          <w:cantSplit/>
          <w:trHeight w:val="300"/>
          <w:tblHeader/>
          <w:jc w:val="center"/>
        </w:trPr>
        <w:tc>
          <w:tcPr>
            <w:tcW w:w="2410" w:type="dxa"/>
            <w:tcBorders>
              <w:top w:val="nil"/>
              <w:left w:val="nil"/>
              <w:bottom w:val="single" w:sz="4" w:space="0" w:color="auto"/>
              <w:right w:val="nil"/>
            </w:tcBorders>
            <w:shd w:val="clear" w:color="auto" w:fill="auto"/>
            <w:noWrap/>
            <w:vAlign w:val="center"/>
            <w:hideMark/>
          </w:tcPr>
          <w:p w14:paraId="45E28069"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Name</w:t>
            </w:r>
          </w:p>
        </w:tc>
        <w:tc>
          <w:tcPr>
            <w:tcW w:w="950" w:type="dxa"/>
            <w:tcBorders>
              <w:top w:val="nil"/>
              <w:left w:val="nil"/>
              <w:bottom w:val="single" w:sz="4" w:space="0" w:color="auto"/>
              <w:right w:val="nil"/>
            </w:tcBorders>
            <w:shd w:val="clear" w:color="auto" w:fill="auto"/>
            <w:noWrap/>
            <w:vAlign w:val="center"/>
            <w:hideMark/>
          </w:tcPr>
          <w:p w14:paraId="1D650FC4"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Latitude</w:t>
            </w:r>
          </w:p>
        </w:tc>
        <w:tc>
          <w:tcPr>
            <w:tcW w:w="1318" w:type="dxa"/>
            <w:tcBorders>
              <w:top w:val="nil"/>
              <w:left w:val="nil"/>
              <w:bottom w:val="single" w:sz="4" w:space="0" w:color="auto"/>
              <w:right w:val="nil"/>
            </w:tcBorders>
            <w:shd w:val="clear" w:color="auto" w:fill="auto"/>
            <w:noWrap/>
            <w:vAlign w:val="center"/>
            <w:hideMark/>
          </w:tcPr>
          <w:p w14:paraId="491AA0F4"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Longitude</w:t>
            </w:r>
          </w:p>
        </w:tc>
        <w:tc>
          <w:tcPr>
            <w:tcW w:w="2552" w:type="dxa"/>
            <w:tcBorders>
              <w:top w:val="nil"/>
              <w:left w:val="nil"/>
              <w:bottom w:val="single" w:sz="4" w:space="0" w:color="auto"/>
              <w:right w:val="nil"/>
            </w:tcBorders>
            <w:shd w:val="clear" w:color="auto" w:fill="auto"/>
            <w:noWrap/>
            <w:vAlign w:val="center"/>
            <w:hideMark/>
          </w:tcPr>
          <w:p w14:paraId="1D9D86D0"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Installed capacity (MW)</w:t>
            </w:r>
          </w:p>
        </w:tc>
        <w:tc>
          <w:tcPr>
            <w:tcW w:w="2835" w:type="dxa"/>
            <w:vMerge/>
            <w:tcBorders>
              <w:top w:val="nil"/>
              <w:left w:val="nil"/>
              <w:bottom w:val="single" w:sz="4" w:space="0" w:color="auto"/>
              <w:right w:val="nil"/>
            </w:tcBorders>
            <w:vAlign w:val="center"/>
            <w:hideMark/>
          </w:tcPr>
          <w:p w14:paraId="3F4988B1" w14:textId="77777777" w:rsidR="00AD08D6" w:rsidRPr="004A635C" w:rsidRDefault="00AD08D6" w:rsidP="00D244B2">
            <w:pPr>
              <w:jc w:val="center"/>
              <w:rPr>
                <w:rFonts w:ascii="Myriad Pro" w:eastAsia="等线" w:hAnsi="Myriad Pro"/>
                <w:color w:val="000000"/>
                <w:sz w:val="22"/>
              </w:rPr>
            </w:pPr>
          </w:p>
        </w:tc>
      </w:tr>
      <w:tr w:rsidR="00AD08D6" w:rsidRPr="004A635C" w14:paraId="513361F7" w14:textId="77777777" w:rsidTr="004A635C">
        <w:trPr>
          <w:cantSplit/>
          <w:trHeight w:val="300"/>
          <w:tblHeader/>
          <w:jc w:val="center"/>
        </w:trPr>
        <w:tc>
          <w:tcPr>
            <w:tcW w:w="2410" w:type="dxa"/>
            <w:tcBorders>
              <w:top w:val="single" w:sz="4" w:space="0" w:color="auto"/>
              <w:left w:val="nil"/>
              <w:bottom w:val="nil"/>
              <w:right w:val="nil"/>
            </w:tcBorders>
            <w:shd w:val="clear" w:color="auto" w:fill="auto"/>
            <w:noWrap/>
            <w:vAlign w:val="center"/>
            <w:hideMark/>
          </w:tcPr>
          <w:p w14:paraId="4436AE11" w14:textId="77777777" w:rsidR="00AD08D6" w:rsidRPr="004A635C" w:rsidRDefault="00AD08D6" w:rsidP="00D244B2">
            <w:pPr>
              <w:jc w:val="center"/>
              <w:rPr>
                <w:rFonts w:ascii="Myriad Pro" w:eastAsia="等线" w:hAnsi="Myriad Pro"/>
                <w:color w:val="000000"/>
                <w:sz w:val="22"/>
              </w:rPr>
            </w:pPr>
            <w:proofErr w:type="spellStart"/>
            <w:r w:rsidRPr="004A635C">
              <w:rPr>
                <w:rFonts w:ascii="Myriad Pro" w:eastAsia="等线" w:hAnsi="Myriad Pro"/>
                <w:color w:val="000000"/>
                <w:sz w:val="22"/>
              </w:rPr>
              <w:t>Asahan</w:t>
            </w:r>
            <w:proofErr w:type="spellEnd"/>
            <w:r w:rsidRPr="004A635C">
              <w:rPr>
                <w:rFonts w:ascii="Myriad Pro" w:eastAsia="等线" w:hAnsi="Myriad Pro"/>
                <w:color w:val="000000"/>
                <w:sz w:val="22"/>
              </w:rPr>
              <w:t xml:space="preserve"> I</w:t>
            </w:r>
          </w:p>
        </w:tc>
        <w:tc>
          <w:tcPr>
            <w:tcW w:w="950" w:type="dxa"/>
            <w:tcBorders>
              <w:top w:val="single" w:sz="4" w:space="0" w:color="auto"/>
              <w:left w:val="nil"/>
              <w:bottom w:val="nil"/>
              <w:right w:val="nil"/>
            </w:tcBorders>
            <w:shd w:val="clear" w:color="auto" w:fill="auto"/>
            <w:noWrap/>
            <w:vAlign w:val="center"/>
            <w:hideMark/>
          </w:tcPr>
          <w:p w14:paraId="00C0A10B"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2.51 </w:t>
            </w:r>
          </w:p>
        </w:tc>
        <w:tc>
          <w:tcPr>
            <w:tcW w:w="1318" w:type="dxa"/>
            <w:tcBorders>
              <w:top w:val="single" w:sz="4" w:space="0" w:color="auto"/>
              <w:left w:val="nil"/>
              <w:bottom w:val="nil"/>
              <w:right w:val="nil"/>
            </w:tcBorders>
            <w:shd w:val="clear" w:color="auto" w:fill="auto"/>
            <w:noWrap/>
            <w:vAlign w:val="center"/>
            <w:hideMark/>
          </w:tcPr>
          <w:p w14:paraId="78EEC576"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99.26 </w:t>
            </w:r>
          </w:p>
        </w:tc>
        <w:tc>
          <w:tcPr>
            <w:tcW w:w="2552" w:type="dxa"/>
            <w:tcBorders>
              <w:top w:val="single" w:sz="4" w:space="0" w:color="auto"/>
              <w:left w:val="nil"/>
              <w:bottom w:val="nil"/>
              <w:right w:val="nil"/>
            </w:tcBorders>
            <w:shd w:val="clear" w:color="auto" w:fill="auto"/>
            <w:noWrap/>
            <w:vAlign w:val="center"/>
            <w:hideMark/>
          </w:tcPr>
          <w:p w14:paraId="7B1A2EFC"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180.00 </w:t>
            </w:r>
          </w:p>
        </w:tc>
        <w:tc>
          <w:tcPr>
            <w:tcW w:w="2835" w:type="dxa"/>
            <w:tcBorders>
              <w:top w:val="single" w:sz="4" w:space="0" w:color="auto"/>
              <w:left w:val="nil"/>
              <w:bottom w:val="nil"/>
              <w:right w:val="nil"/>
            </w:tcBorders>
            <w:shd w:val="clear" w:color="auto" w:fill="auto"/>
            <w:noWrap/>
            <w:vAlign w:val="center"/>
            <w:hideMark/>
          </w:tcPr>
          <w:p w14:paraId="36896D50"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1542.66 </w:t>
            </w:r>
          </w:p>
        </w:tc>
      </w:tr>
      <w:tr w:rsidR="00AD08D6" w:rsidRPr="004A635C" w14:paraId="0B40DCDC" w14:textId="77777777" w:rsidTr="004A635C">
        <w:trPr>
          <w:cantSplit/>
          <w:trHeight w:val="300"/>
          <w:tblHeader/>
          <w:jc w:val="center"/>
        </w:trPr>
        <w:tc>
          <w:tcPr>
            <w:tcW w:w="2410" w:type="dxa"/>
            <w:tcBorders>
              <w:top w:val="nil"/>
              <w:left w:val="nil"/>
              <w:bottom w:val="nil"/>
              <w:right w:val="nil"/>
            </w:tcBorders>
            <w:shd w:val="clear" w:color="auto" w:fill="auto"/>
            <w:noWrap/>
            <w:vAlign w:val="center"/>
            <w:hideMark/>
          </w:tcPr>
          <w:p w14:paraId="3B421AA5" w14:textId="77777777" w:rsidR="00AD08D6" w:rsidRPr="004A635C" w:rsidRDefault="00AD08D6" w:rsidP="00D244B2">
            <w:pPr>
              <w:jc w:val="center"/>
              <w:rPr>
                <w:rFonts w:ascii="Myriad Pro" w:eastAsia="等线" w:hAnsi="Myriad Pro"/>
                <w:color w:val="000000"/>
                <w:sz w:val="22"/>
              </w:rPr>
            </w:pPr>
            <w:proofErr w:type="spellStart"/>
            <w:r w:rsidRPr="004A635C">
              <w:rPr>
                <w:rFonts w:ascii="Myriad Pro" w:eastAsia="等线" w:hAnsi="Myriad Pro"/>
                <w:color w:val="000000"/>
                <w:sz w:val="22"/>
              </w:rPr>
              <w:t>Sigura</w:t>
            </w:r>
            <w:proofErr w:type="spellEnd"/>
            <w:r w:rsidRPr="004A635C">
              <w:rPr>
                <w:rFonts w:ascii="Myriad Pro" w:eastAsia="等线" w:hAnsi="Myriad Pro"/>
                <w:color w:val="000000"/>
                <w:sz w:val="22"/>
              </w:rPr>
              <w:t xml:space="preserve"> </w:t>
            </w:r>
            <w:proofErr w:type="spellStart"/>
            <w:r w:rsidRPr="004A635C">
              <w:rPr>
                <w:rFonts w:ascii="Myriad Pro" w:eastAsia="等线" w:hAnsi="Myriad Pro"/>
                <w:color w:val="000000"/>
                <w:sz w:val="22"/>
              </w:rPr>
              <w:t>gura</w:t>
            </w:r>
            <w:proofErr w:type="spellEnd"/>
            <w:r w:rsidRPr="004A635C">
              <w:rPr>
                <w:rFonts w:ascii="Myriad Pro" w:eastAsia="等线" w:hAnsi="Myriad Pro"/>
                <w:color w:val="000000"/>
                <w:sz w:val="22"/>
              </w:rPr>
              <w:t xml:space="preserve"> (</w:t>
            </w:r>
            <w:proofErr w:type="spellStart"/>
            <w:r w:rsidRPr="004A635C">
              <w:rPr>
                <w:rFonts w:ascii="Myriad Pro" w:eastAsia="等线" w:hAnsi="Myriad Pro"/>
                <w:color w:val="000000"/>
                <w:sz w:val="22"/>
              </w:rPr>
              <w:t>asahan</w:t>
            </w:r>
            <w:proofErr w:type="spellEnd"/>
            <w:r w:rsidRPr="004A635C">
              <w:rPr>
                <w:rFonts w:ascii="Myriad Pro" w:eastAsia="等线" w:hAnsi="Myriad Pro"/>
                <w:color w:val="000000"/>
                <w:sz w:val="22"/>
              </w:rPr>
              <w:t xml:space="preserve"> II)</w:t>
            </w:r>
          </w:p>
        </w:tc>
        <w:tc>
          <w:tcPr>
            <w:tcW w:w="950" w:type="dxa"/>
            <w:tcBorders>
              <w:top w:val="nil"/>
              <w:left w:val="nil"/>
              <w:bottom w:val="nil"/>
              <w:right w:val="nil"/>
            </w:tcBorders>
            <w:shd w:val="clear" w:color="auto" w:fill="auto"/>
            <w:noWrap/>
            <w:vAlign w:val="center"/>
            <w:hideMark/>
          </w:tcPr>
          <w:p w14:paraId="72050494"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2.52 </w:t>
            </w:r>
          </w:p>
        </w:tc>
        <w:tc>
          <w:tcPr>
            <w:tcW w:w="1318" w:type="dxa"/>
            <w:tcBorders>
              <w:top w:val="nil"/>
              <w:left w:val="nil"/>
              <w:bottom w:val="nil"/>
              <w:right w:val="nil"/>
            </w:tcBorders>
            <w:shd w:val="clear" w:color="auto" w:fill="auto"/>
            <w:noWrap/>
            <w:vAlign w:val="center"/>
            <w:hideMark/>
          </w:tcPr>
          <w:p w14:paraId="458D9D66"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99.28 </w:t>
            </w:r>
          </w:p>
        </w:tc>
        <w:tc>
          <w:tcPr>
            <w:tcW w:w="2552" w:type="dxa"/>
            <w:tcBorders>
              <w:top w:val="nil"/>
              <w:left w:val="nil"/>
              <w:bottom w:val="nil"/>
              <w:right w:val="nil"/>
            </w:tcBorders>
            <w:shd w:val="clear" w:color="auto" w:fill="auto"/>
            <w:noWrap/>
            <w:vAlign w:val="center"/>
            <w:hideMark/>
          </w:tcPr>
          <w:p w14:paraId="64DC20CD"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286.00 </w:t>
            </w:r>
          </w:p>
        </w:tc>
        <w:tc>
          <w:tcPr>
            <w:tcW w:w="2835" w:type="dxa"/>
            <w:tcBorders>
              <w:top w:val="nil"/>
              <w:left w:val="nil"/>
              <w:bottom w:val="nil"/>
              <w:right w:val="nil"/>
            </w:tcBorders>
            <w:shd w:val="clear" w:color="auto" w:fill="auto"/>
            <w:noWrap/>
            <w:vAlign w:val="center"/>
            <w:hideMark/>
          </w:tcPr>
          <w:p w14:paraId="6BE35500"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1542.66 </w:t>
            </w:r>
          </w:p>
        </w:tc>
      </w:tr>
      <w:tr w:rsidR="00AD08D6" w:rsidRPr="004A635C" w14:paraId="51DFC003" w14:textId="77777777" w:rsidTr="004A635C">
        <w:trPr>
          <w:cantSplit/>
          <w:trHeight w:val="300"/>
          <w:tblHeader/>
          <w:jc w:val="center"/>
        </w:trPr>
        <w:tc>
          <w:tcPr>
            <w:tcW w:w="2410" w:type="dxa"/>
            <w:tcBorders>
              <w:top w:val="nil"/>
              <w:left w:val="nil"/>
              <w:bottom w:val="nil"/>
              <w:right w:val="nil"/>
            </w:tcBorders>
            <w:shd w:val="clear" w:color="auto" w:fill="auto"/>
            <w:noWrap/>
            <w:vAlign w:val="center"/>
            <w:hideMark/>
          </w:tcPr>
          <w:p w14:paraId="5265A123" w14:textId="77777777" w:rsidR="00AD08D6" w:rsidRPr="004A635C" w:rsidRDefault="00AD08D6" w:rsidP="00D244B2">
            <w:pPr>
              <w:jc w:val="center"/>
              <w:rPr>
                <w:rFonts w:ascii="Myriad Pro" w:eastAsia="等线" w:hAnsi="Myriad Pro"/>
                <w:color w:val="000000"/>
                <w:sz w:val="22"/>
              </w:rPr>
            </w:pPr>
            <w:proofErr w:type="spellStart"/>
            <w:r w:rsidRPr="004A635C">
              <w:rPr>
                <w:rFonts w:ascii="Myriad Pro" w:eastAsia="等线" w:hAnsi="Myriad Pro"/>
                <w:color w:val="000000"/>
                <w:sz w:val="22"/>
              </w:rPr>
              <w:t>Tangga</w:t>
            </w:r>
            <w:proofErr w:type="spellEnd"/>
            <w:r w:rsidRPr="004A635C">
              <w:rPr>
                <w:rFonts w:ascii="Myriad Pro" w:eastAsia="等线" w:hAnsi="Myriad Pro"/>
                <w:color w:val="000000"/>
                <w:sz w:val="22"/>
              </w:rPr>
              <w:t xml:space="preserve"> (</w:t>
            </w:r>
            <w:proofErr w:type="spellStart"/>
            <w:r w:rsidRPr="004A635C">
              <w:rPr>
                <w:rFonts w:ascii="Myriad Pro" w:eastAsia="等线" w:hAnsi="Myriad Pro"/>
                <w:color w:val="000000"/>
                <w:sz w:val="22"/>
              </w:rPr>
              <w:t>asahan</w:t>
            </w:r>
            <w:proofErr w:type="spellEnd"/>
            <w:r w:rsidRPr="004A635C">
              <w:rPr>
                <w:rFonts w:ascii="Myriad Pro" w:eastAsia="等线" w:hAnsi="Myriad Pro"/>
                <w:color w:val="000000"/>
                <w:sz w:val="22"/>
              </w:rPr>
              <w:t xml:space="preserve"> II)</w:t>
            </w:r>
          </w:p>
        </w:tc>
        <w:tc>
          <w:tcPr>
            <w:tcW w:w="950" w:type="dxa"/>
            <w:tcBorders>
              <w:top w:val="nil"/>
              <w:left w:val="nil"/>
              <w:bottom w:val="nil"/>
              <w:right w:val="nil"/>
            </w:tcBorders>
            <w:shd w:val="clear" w:color="auto" w:fill="auto"/>
            <w:noWrap/>
            <w:vAlign w:val="center"/>
            <w:hideMark/>
          </w:tcPr>
          <w:p w14:paraId="1FE3A4EB"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2.55 </w:t>
            </w:r>
          </w:p>
        </w:tc>
        <w:tc>
          <w:tcPr>
            <w:tcW w:w="1318" w:type="dxa"/>
            <w:tcBorders>
              <w:top w:val="nil"/>
              <w:left w:val="nil"/>
              <w:bottom w:val="nil"/>
              <w:right w:val="nil"/>
            </w:tcBorders>
            <w:shd w:val="clear" w:color="auto" w:fill="auto"/>
            <w:noWrap/>
            <w:vAlign w:val="center"/>
            <w:hideMark/>
          </w:tcPr>
          <w:p w14:paraId="7B3A7FBE"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99.30 </w:t>
            </w:r>
          </w:p>
        </w:tc>
        <w:tc>
          <w:tcPr>
            <w:tcW w:w="2552" w:type="dxa"/>
            <w:tcBorders>
              <w:top w:val="nil"/>
              <w:left w:val="nil"/>
              <w:bottom w:val="nil"/>
              <w:right w:val="nil"/>
            </w:tcBorders>
            <w:shd w:val="clear" w:color="auto" w:fill="auto"/>
            <w:noWrap/>
            <w:vAlign w:val="center"/>
            <w:hideMark/>
          </w:tcPr>
          <w:p w14:paraId="0E439AF5"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317.00 </w:t>
            </w:r>
          </w:p>
        </w:tc>
        <w:tc>
          <w:tcPr>
            <w:tcW w:w="2835" w:type="dxa"/>
            <w:tcBorders>
              <w:top w:val="nil"/>
              <w:left w:val="nil"/>
              <w:bottom w:val="nil"/>
              <w:right w:val="nil"/>
            </w:tcBorders>
            <w:shd w:val="clear" w:color="auto" w:fill="auto"/>
            <w:noWrap/>
            <w:vAlign w:val="center"/>
            <w:hideMark/>
          </w:tcPr>
          <w:p w14:paraId="529C5117"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1542.66 </w:t>
            </w:r>
          </w:p>
        </w:tc>
      </w:tr>
      <w:tr w:rsidR="00AD08D6" w:rsidRPr="004A635C" w14:paraId="407F0C2F" w14:textId="77777777" w:rsidTr="004A635C">
        <w:trPr>
          <w:cantSplit/>
          <w:trHeight w:val="300"/>
          <w:tblHeader/>
          <w:jc w:val="center"/>
        </w:trPr>
        <w:tc>
          <w:tcPr>
            <w:tcW w:w="2410" w:type="dxa"/>
            <w:tcBorders>
              <w:top w:val="nil"/>
              <w:left w:val="nil"/>
              <w:bottom w:val="nil"/>
              <w:right w:val="nil"/>
            </w:tcBorders>
            <w:shd w:val="clear" w:color="auto" w:fill="auto"/>
            <w:noWrap/>
            <w:vAlign w:val="center"/>
            <w:hideMark/>
          </w:tcPr>
          <w:p w14:paraId="0FD61912"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Koto Panjang Kampar</w:t>
            </w:r>
          </w:p>
        </w:tc>
        <w:tc>
          <w:tcPr>
            <w:tcW w:w="950" w:type="dxa"/>
            <w:tcBorders>
              <w:top w:val="nil"/>
              <w:left w:val="nil"/>
              <w:bottom w:val="nil"/>
              <w:right w:val="nil"/>
            </w:tcBorders>
            <w:shd w:val="clear" w:color="auto" w:fill="auto"/>
            <w:noWrap/>
            <w:vAlign w:val="center"/>
            <w:hideMark/>
          </w:tcPr>
          <w:p w14:paraId="238C832F"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0.29 </w:t>
            </w:r>
          </w:p>
        </w:tc>
        <w:tc>
          <w:tcPr>
            <w:tcW w:w="1318" w:type="dxa"/>
            <w:tcBorders>
              <w:top w:val="nil"/>
              <w:left w:val="nil"/>
              <w:bottom w:val="nil"/>
              <w:right w:val="nil"/>
            </w:tcBorders>
            <w:shd w:val="clear" w:color="auto" w:fill="auto"/>
            <w:noWrap/>
            <w:vAlign w:val="center"/>
            <w:hideMark/>
          </w:tcPr>
          <w:p w14:paraId="60916C07"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100.88 </w:t>
            </w:r>
          </w:p>
        </w:tc>
        <w:tc>
          <w:tcPr>
            <w:tcW w:w="2552" w:type="dxa"/>
            <w:tcBorders>
              <w:top w:val="nil"/>
              <w:left w:val="nil"/>
              <w:bottom w:val="nil"/>
              <w:right w:val="nil"/>
            </w:tcBorders>
            <w:shd w:val="clear" w:color="auto" w:fill="auto"/>
            <w:noWrap/>
            <w:vAlign w:val="center"/>
            <w:hideMark/>
          </w:tcPr>
          <w:p w14:paraId="45EA2D19"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114.00 </w:t>
            </w:r>
          </w:p>
        </w:tc>
        <w:tc>
          <w:tcPr>
            <w:tcW w:w="2835" w:type="dxa"/>
            <w:tcBorders>
              <w:top w:val="nil"/>
              <w:left w:val="nil"/>
              <w:bottom w:val="nil"/>
              <w:right w:val="nil"/>
            </w:tcBorders>
            <w:shd w:val="clear" w:color="auto" w:fill="auto"/>
            <w:noWrap/>
            <w:vAlign w:val="center"/>
            <w:hideMark/>
          </w:tcPr>
          <w:p w14:paraId="43D0E8C8"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114.38 </w:t>
            </w:r>
          </w:p>
        </w:tc>
      </w:tr>
      <w:tr w:rsidR="00AD08D6" w:rsidRPr="004A635C" w14:paraId="61437138" w14:textId="77777777" w:rsidTr="004A635C">
        <w:trPr>
          <w:cantSplit/>
          <w:trHeight w:val="300"/>
          <w:tblHeader/>
          <w:jc w:val="center"/>
        </w:trPr>
        <w:tc>
          <w:tcPr>
            <w:tcW w:w="2410" w:type="dxa"/>
            <w:tcBorders>
              <w:top w:val="nil"/>
              <w:left w:val="nil"/>
              <w:bottom w:val="nil"/>
              <w:right w:val="nil"/>
            </w:tcBorders>
            <w:shd w:val="clear" w:color="auto" w:fill="auto"/>
            <w:noWrap/>
            <w:vAlign w:val="center"/>
            <w:hideMark/>
          </w:tcPr>
          <w:p w14:paraId="65034482"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Lau </w:t>
            </w:r>
            <w:proofErr w:type="spellStart"/>
            <w:r w:rsidRPr="004A635C">
              <w:rPr>
                <w:rFonts w:ascii="Myriad Pro" w:eastAsia="等线" w:hAnsi="Myriad Pro"/>
                <w:color w:val="000000"/>
                <w:sz w:val="22"/>
              </w:rPr>
              <w:t>Renun</w:t>
            </w:r>
            <w:proofErr w:type="spellEnd"/>
          </w:p>
        </w:tc>
        <w:tc>
          <w:tcPr>
            <w:tcW w:w="950" w:type="dxa"/>
            <w:tcBorders>
              <w:top w:val="nil"/>
              <w:left w:val="nil"/>
              <w:bottom w:val="nil"/>
              <w:right w:val="nil"/>
            </w:tcBorders>
            <w:shd w:val="clear" w:color="auto" w:fill="auto"/>
            <w:noWrap/>
            <w:vAlign w:val="center"/>
            <w:hideMark/>
          </w:tcPr>
          <w:p w14:paraId="49681C79"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3.08 </w:t>
            </w:r>
          </w:p>
        </w:tc>
        <w:tc>
          <w:tcPr>
            <w:tcW w:w="1318" w:type="dxa"/>
            <w:tcBorders>
              <w:top w:val="nil"/>
              <w:left w:val="nil"/>
              <w:bottom w:val="nil"/>
              <w:right w:val="nil"/>
            </w:tcBorders>
            <w:shd w:val="clear" w:color="auto" w:fill="auto"/>
            <w:noWrap/>
            <w:vAlign w:val="center"/>
            <w:hideMark/>
          </w:tcPr>
          <w:p w14:paraId="3A19215A"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98.07 </w:t>
            </w:r>
          </w:p>
        </w:tc>
        <w:tc>
          <w:tcPr>
            <w:tcW w:w="2552" w:type="dxa"/>
            <w:tcBorders>
              <w:top w:val="nil"/>
              <w:left w:val="nil"/>
              <w:bottom w:val="nil"/>
              <w:right w:val="nil"/>
            </w:tcBorders>
            <w:shd w:val="clear" w:color="auto" w:fill="auto"/>
            <w:noWrap/>
            <w:vAlign w:val="center"/>
            <w:hideMark/>
          </w:tcPr>
          <w:p w14:paraId="712159E7"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82.00 </w:t>
            </w:r>
          </w:p>
        </w:tc>
        <w:tc>
          <w:tcPr>
            <w:tcW w:w="2835" w:type="dxa"/>
            <w:tcBorders>
              <w:top w:val="nil"/>
              <w:left w:val="nil"/>
              <w:bottom w:val="nil"/>
              <w:right w:val="nil"/>
            </w:tcBorders>
            <w:shd w:val="clear" w:color="auto" w:fill="auto"/>
            <w:noWrap/>
            <w:vAlign w:val="center"/>
            <w:hideMark/>
          </w:tcPr>
          <w:p w14:paraId="2782D573"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239.85 </w:t>
            </w:r>
          </w:p>
        </w:tc>
      </w:tr>
      <w:tr w:rsidR="00AD08D6" w:rsidRPr="004A635C" w14:paraId="695642C1" w14:textId="77777777" w:rsidTr="004A635C">
        <w:trPr>
          <w:cantSplit/>
          <w:trHeight w:val="300"/>
          <w:tblHeader/>
          <w:jc w:val="center"/>
        </w:trPr>
        <w:tc>
          <w:tcPr>
            <w:tcW w:w="2410" w:type="dxa"/>
            <w:tcBorders>
              <w:top w:val="nil"/>
              <w:left w:val="nil"/>
              <w:right w:val="nil"/>
            </w:tcBorders>
            <w:shd w:val="clear" w:color="auto" w:fill="auto"/>
            <w:noWrap/>
            <w:vAlign w:val="center"/>
            <w:hideMark/>
          </w:tcPr>
          <w:p w14:paraId="735B6661" w14:textId="77777777" w:rsidR="00AD08D6" w:rsidRPr="004A635C" w:rsidRDefault="00AD08D6" w:rsidP="00D244B2">
            <w:pPr>
              <w:jc w:val="center"/>
              <w:rPr>
                <w:rFonts w:ascii="Myriad Pro" w:eastAsia="等线" w:hAnsi="Myriad Pro"/>
                <w:color w:val="000000"/>
                <w:sz w:val="22"/>
              </w:rPr>
            </w:pPr>
            <w:proofErr w:type="spellStart"/>
            <w:r w:rsidRPr="004A635C">
              <w:rPr>
                <w:rFonts w:ascii="Myriad Pro" w:eastAsia="等线" w:hAnsi="Myriad Pro"/>
                <w:color w:val="000000"/>
                <w:sz w:val="22"/>
              </w:rPr>
              <w:t>Maninjau</w:t>
            </w:r>
            <w:proofErr w:type="spellEnd"/>
            <w:r w:rsidRPr="004A635C">
              <w:rPr>
                <w:rFonts w:ascii="Myriad Pro" w:eastAsia="等线" w:hAnsi="Myriad Pro"/>
                <w:color w:val="000000"/>
                <w:sz w:val="22"/>
              </w:rPr>
              <w:t xml:space="preserve"> III</w:t>
            </w:r>
          </w:p>
        </w:tc>
        <w:tc>
          <w:tcPr>
            <w:tcW w:w="950" w:type="dxa"/>
            <w:tcBorders>
              <w:top w:val="nil"/>
              <w:left w:val="nil"/>
              <w:right w:val="nil"/>
            </w:tcBorders>
            <w:shd w:val="clear" w:color="auto" w:fill="auto"/>
            <w:noWrap/>
            <w:vAlign w:val="center"/>
            <w:hideMark/>
          </w:tcPr>
          <w:p w14:paraId="14738CCE"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-0.29 </w:t>
            </w:r>
          </w:p>
        </w:tc>
        <w:tc>
          <w:tcPr>
            <w:tcW w:w="1318" w:type="dxa"/>
            <w:tcBorders>
              <w:top w:val="nil"/>
              <w:left w:val="nil"/>
              <w:right w:val="nil"/>
            </w:tcBorders>
            <w:shd w:val="clear" w:color="auto" w:fill="auto"/>
            <w:noWrap/>
            <w:vAlign w:val="center"/>
            <w:hideMark/>
          </w:tcPr>
          <w:p w14:paraId="2FED6E2A"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100.15 </w:t>
            </w:r>
          </w:p>
        </w:tc>
        <w:tc>
          <w:tcPr>
            <w:tcW w:w="2552" w:type="dxa"/>
            <w:tcBorders>
              <w:top w:val="nil"/>
              <w:left w:val="nil"/>
              <w:right w:val="nil"/>
            </w:tcBorders>
            <w:shd w:val="clear" w:color="auto" w:fill="auto"/>
            <w:noWrap/>
            <w:vAlign w:val="center"/>
            <w:hideMark/>
          </w:tcPr>
          <w:p w14:paraId="42A804FE"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123.00 </w:t>
            </w:r>
          </w:p>
        </w:tc>
        <w:tc>
          <w:tcPr>
            <w:tcW w:w="2835" w:type="dxa"/>
            <w:tcBorders>
              <w:top w:val="nil"/>
              <w:left w:val="nil"/>
              <w:right w:val="nil"/>
            </w:tcBorders>
            <w:shd w:val="clear" w:color="auto" w:fill="auto"/>
            <w:noWrap/>
            <w:vAlign w:val="center"/>
            <w:hideMark/>
          </w:tcPr>
          <w:p w14:paraId="42D465E8"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560.50 </w:t>
            </w:r>
          </w:p>
        </w:tc>
      </w:tr>
      <w:tr w:rsidR="00AD08D6" w:rsidRPr="004A635C" w14:paraId="104518DE" w14:textId="77777777" w:rsidTr="004A635C">
        <w:trPr>
          <w:cantSplit/>
          <w:trHeight w:val="300"/>
          <w:tblHeader/>
          <w:jc w:val="center"/>
        </w:trPr>
        <w:tc>
          <w:tcPr>
            <w:tcW w:w="2410" w:type="dxa"/>
            <w:tcBorders>
              <w:top w:val="nil"/>
              <w:left w:val="nil"/>
              <w:bottom w:val="nil"/>
              <w:right w:val="nil"/>
            </w:tcBorders>
            <w:shd w:val="clear" w:color="auto" w:fill="auto"/>
            <w:noWrap/>
            <w:vAlign w:val="center"/>
            <w:hideMark/>
          </w:tcPr>
          <w:p w14:paraId="2D4BDF46" w14:textId="77777777" w:rsidR="00AD08D6" w:rsidRPr="004A635C" w:rsidRDefault="00AD08D6" w:rsidP="00D244B2">
            <w:pPr>
              <w:jc w:val="center"/>
              <w:rPr>
                <w:rFonts w:ascii="Myriad Pro" w:eastAsia="等线" w:hAnsi="Myriad Pro"/>
                <w:color w:val="000000"/>
                <w:sz w:val="22"/>
              </w:rPr>
            </w:pPr>
            <w:proofErr w:type="spellStart"/>
            <w:r w:rsidRPr="004A635C">
              <w:rPr>
                <w:rFonts w:ascii="Myriad Pro" w:eastAsia="等线" w:hAnsi="Myriad Pro"/>
                <w:color w:val="000000"/>
                <w:sz w:val="22"/>
              </w:rPr>
              <w:t>Musi</w:t>
            </w:r>
            <w:proofErr w:type="spellEnd"/>
          </w:p>
        </w:tc>
        <w:tc>
          <w:tcPr>
            <w:tcW w:w="950" w:type="dxa"/>
            <w:tcBorders>
              <w:top w:val="nil"/>
              <w:left w:val="nil"/>
              <w:bottom w:val="nil"/>
              <w:right w:val="nil"/>
            </w:tcBorders>
            <w:shd w:val="clear" w:color="auto" w:fill="auto"/>
            <w:noWrap/>
            <w:vAlign w:val="center"/>
            <w:hideMark/>
          </w:tcPr>
          <w:p w14:paraId="52C14F41"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-3.77 </w:t>
            </w:r>
          </w:p>
        </w:tc>
        <w:tc>
          <w:tcPr>
            <w:tcW w:w="1318" w:type="dxa"/>
            <w:tcBorders>
              <w:top w:val="nil"/>
              <w:left w:val="nil"/>
              <w:bottom w:val="nil"/>
              <w:right w:val="nil"/>
            </w:tcBorders>
            <w:shd w:val="clear" w:color="auto" w:fill="auto"/>
            <w:noWrap/>
            <w:vAlign w:val="center"/>
            <w:hideMark/>
          </w:tcPr>
          <w:p w14:paraId="5D0A4DBF"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102.44 </w:t>
            </w:r>
          </w:p>
        </w:tc>
        <w:tc>
          <w:tcPr>
            <w:tcW w:w="2552" w:type="dxa"/>
            <w:tcBorders>
              <w:top w:val="nil"/>
              <w:left w:val="nil"/>
              <w:bottom w:val="nil"/>
              <w:right w:val="nil"/>
            </w:tcBorders>
            <w:shd w:val="clear" w:color="auto" w:fill="auto"/>
            <w:noWrap/>
            <w:vAlign w:val="center"/>
            <w:hideMark/>
          </w:tcPr>
          <w:p w14:paraId="6F55901F"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215.48 </w:t>
            </w:r>
          </w:p>
        </w:tc>
        <w:tc>
          <w:tcPr>
            <w:tcW w:w="2835" w:type="dxa"/>
            <w:tcBorders>
              <w:top w:val="nil"/>
              <w:left w:val="nil"/>
              <w:bottom w:val="nil"/>
              <w:right w:val="nil"/>
            </w:tcBorders>
            <w:shd w:val="clear" w:color="auto" w:fill="auto"/>
            <w:noWrap/>
            <w:vAlign w:val="center"/>
            <w:hideMark/>
          </w:tcPr>
          <w:p w14:paraId="4086D924"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1176.71 </w:t>
            </w:r>
          </w:p>
        </w:tc>
      </w:tr>
      <w:tr w:rsidR="00AD08D6" w:rsidRPr="004A635C" w14:paraId="17BE482C" w14:textId="77777777" w:rsidTr="004A635C">
        <w:trPr>
          <w:cantSplit/>
          <w:trHeight w:val="300"/>
          <w:tblHeader/>
          <w:jc w:val="center"/>
        </w:trPr>
        <w:tc>
          <w:tcPr>
            <w:tcW w:w="2410" w:type="dxa"/>
            <w:tcBorders>
              <w:top w:val="nil"/>
              <w:left w:val="nil"/>
              <w:bottom w:val="nil"/>
              <w:right w:val="nil"/>
            </w:tcBorders>
            <w:shd w:val="clear" w:color="auto" w:fill="auto"/>
            <w:noWrap/>
            <w:vAlign w:val="center"/>
            <w:hideMark/>
          </w:tcPr>
          <w:p w14:paraId="45D7A782" w14:textId="77777777" w:rsidR="00AD08D6" w:rsidRPr="004A635C" w:rsidRDefault="00AD08D6" w:rsidP="00D244B2">
            <w:pPr>
              <w:jc w:val="center"/>
              <w:rPr>
                <w:rFonts w:ascii="Myriad Pro" w:eastAsia="等线" w:hAnsi="Myriad Pro"/>
                <w:color w:val="000000"/>
                <w:sz w:val="22"/>
              </w:rPr>
            </w:pPr>
            <w:proofErr w:type="spellStart"/>
            <w:r w:rsidRPr="004A635C">
              <w:rPr>
                <w:rFonts w:ascii="Myriad Pro" w:eastAsia="等线" w:hAnsi="Myriad Pro"/>
                <w:color w:val="000000"/>
                <w:sz w:val="22"/>
              </w:rPr>
              <w:t>Singkarak</w:t>
            </w:r>
            <w:proofErr w:type="spellEnd"/>
          </w:p>
        </w:tc>
        <w:tc>
          <w:tcPr>
            <w:tcW w:w="950" w:type="dxa"/>
            <w:tcBorders>
              <w:top w:val="nil"/>
              <w:left w:val="nil"/>
              <w:bottom w:val="nil"/>
              <w:right w:val="nil"/>
            </w:tcBorders>
            <w:shd w:val="clear" w:color="auto" w:fill="auto"/>
            <w:noWrap/>
            <w:vAlign w:val="center"/>
            <w:hideMark/>
          </w:tcPr>
          <w:p w14:paraId="7D41FC2A"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-0.69 </w:t>
            </w:r>
          </w:p>
        </w:tc>
        <w:tc>
          <w:tcPr>
            <w:tcW w:w="1318" w:type="dxa"/>
            <w:tcBorders>
              <w:top w:val="nil"/>
              <w:left w:val="nil"/>
              <w:bottom w:val="nil"/>
              <w:right w:val="nil"/>
            </w:tcBorders>
            <w:shd w:val="clear" w:color="auto" w:fill="auto"/>
            <w:noWrap/>
            <w:vAlign w:val="center"/>
            <w:hideMark/>
          </w:tcPr>
          <w:p w14:paraId="6773E492"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100.60 </w:t>
            </w:r>
          </w:p>
        </w:tc>
        <w:tc>
          <w:tcPr>
            <w:tcW w:w="2552" w:type="dxa"/>
            <w:tcBorders>
              <w:top w:val="nil"/>
              <w:left w:val="nil"/>
              <w:bottom w:val="nil"/>
              <w:right w:val="nil"/>
            </w:tcBorders>
            <w:shd w:val="clear" w:color="auto" w:fill="auto"/>
            <w:noWrap/>
            <w:vAlign w:val="center"/>
            <w:hideMark/>
          </w:tcPr>
          <w:p w14:paraId="6414A50E"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175.00 </w:t>
            </w:r>
          </w:p>
        </w:tc>
        <w:tc>
          <w:tcPr>
            <w:tcW w:w="2835" w:type="dxa"/>
            <w:tcBorders>
              <w:top w:val="nil"/>
              <w:left w:val="nil"/>
              <w:bottom w:val="nil"/>
              <w:right w:val="nil"/>
            </w:tcBorders>
            <w:shd w:val="clear" w:color="auto" w:fill="auto"/>
            <w:noWrap/>
            <w:vAlign w:val="center"/>
            <w:hideMark/>
          </w:tcPr>
          <w:p w14:paraId="070CF922"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356.08 </w:t>
            </w:r>
          </w:p>
        </w:tc>
      </w:tr>
      <w:tr w:rsidR="00AD08D6" w:rsidRPr="004A635C" w14:paraId="51757C5D" w14:textId="77777777" w:rsidTr="004A635C">
        <w:trPr>
          <w:cantSplit/>
          <w:trHeight w:val="300"/>
          <w:tblHeader/>
          <w:jc w:val="center"/>
        </w:trPr>
        <w:tc>
          <w:tcPr>
            <w:tcW w:w="2410" w:type="dxa"/>
            <w:tcBorders>
              <w:top w:val="nil"/>
              <w:left w:val="nil"/>
              <w:bottom w:val="single" w:sz="4" w:space="0" w:color="auto"/>
              <w:right w:val="nil"/>
            </w:tcBorders>
            <w:shd w:val="clear" w:color="auto" w:fill="auto"/>
            <w:noWrap/>
            <w:vAlign w:val="center"/>
            <w:hideMark/>
          </w:tcPr>
          <w:p w14:paraId="79E38A03" w14:textId="77777777" w:rsidR="00AD08D6" w:rsidRPr="004A635C" w:rsidRDefault="00AD08D6" w:rsidP="00D244B2">
            <w:pPr>
              <w:jc w:val="center"/>
              <w:rPr>
                <w:rFonts w:ascii="Myriad Pro" w:eastAsia="等线" w:hAnsi="Myriad Pro"/>
                <w:color w:val="000000"/>
                <w:sz w:val="22"/>
              </w:rPr>
            </w:pPr>
            <w:proofErr w:type="spellStart"/>
            <w:r w:rsidRPr="004A635C">
              <w:rPr>
                <w:rFonts w:ascii="Myriad Pro" w:eastAsia="等线" w:hAnsi="Myriad Pro"/>
                <w:color w:val="000000"/>
                <w:sz w:val="22"/>
              </w:rPr>
              <w:t>Sipansihaporas</w:t>
            </w:r>
            <w:proofErr w:type="spellEnd"/>
          </w:p>
        </w:tc>
        <w:tc>
          <w:tcPr>
            <w:tcW w:w="950" w:type="dxa"/>
            <w:tcBorders>
              <w:top w:val="nil"/>
              <w:left w:val="nil"/>
              <w:bottom w:val="single" w:sz="4" w:space="0" w:color="auto"/>
              <w:right w:val="nil"/>
            </w:tcBorders>
            <w:shd w:val="clear" w:color="auto" w:fill="auto"/>
            <w:noWrap/>
            <w:vAlign w:val="center"/>
            <w:hideMark/>
          </w:tcPr>
          <w:p w14:paraId="2932809D"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1.74 </w:t>
            </w:r>
          </w:p>
        </w:tc>
        <w:tc>
          <w:tcPr>
            <w:tcW w:w="1318" w:type="dxa"/>
            <w:tcBorders>
              <w:top w:val="nil"/>
              <w:left w:val="nil"/>
              <w:bottom w:val="single" w:sz="4" w:space="0" w:color="auto"/>
              <w:right w:val="nil"/>
            </w:tcBorders>
            <w:shd w:val="clear" w:color="auto" w:fill="auto"/>
            <w:noWrap/>
            <w:vAlign w:val="center"/>
            <w:hideMark/>
          </w:tcPr>
          <w:p w14:paraId="117CD3B1"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98.78 </w:t>
            </w:r>
          </w:p>
        </w:tc>
        <w:tc>
          <w:tcPr>
            <w:tcW w:w="2552" w:type="dxa"/>
            <w:tcBorders>
              <w:top w:val="nil"/>
              <w:left w:val="nil"/>
              <w:bottom w:val="single" w:sz="4" w:space="0" w:color="auto"/>
              <w:right w:val="nil"/>
            </w:tcBorders>
            <w:shd w:val="clear" w:color="auto" w:fill="auto"/>
            <w:noWrap/>
            <w:vAlign w:val="center"/>
            <w:hideMark/>
          </w:tcPr>
          <w:p w14:paraId="7CD1D9CE"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50.00 </w:t>
            </w:r>
          </w:p>
        </w:tc>
        <w:tc>
          <w:tcPr>
            <w:tcW w:w="2835" w:type="dxa"/>
            <w:tcBorders>
              <w:top w:val="nil"/>
              <w:left w:val="nil"/>
              <w:bottom w:val="single" w:sz="4" w:space="0" w:color="auto"/>
              <w:right w:val="nil"/>
            </w:tcBorders>
            <w:shd w:val="clear" w:color="auto" w:fill="auto"/>
            <w:noWrap/>
            <w:vAlign w:val="center"/>
            <w:hideMark/>
          </w:tcPr>
          <w:p w14:paraId="199DAFFF" w14:textId="77777777" w:rsidR="00AD08D6" w:rsidRPr="004A635C" w:rsidRDefault="00AD08D6" w:rsidP="00D244B2">
            <w:pPr>
              <w:jc w:val="center"/>
              <w:rPr>
                <w:rFonts w:ascii="Myriad Pro" w:eastAsia="等线" w:hAnsi="Myriad Pro"/>
                <w:color w:val="000000"/>
                <w:sz w:val="22"/>
              </w:rPr>
            </w:pPr>
            <w:r w:rsidRPr="004A635C">
              <w:rPr>
                <w:rFonts w:ascii="Myriad Pro" w:eastAsia="等线" w:hAnsi="Myriad Pro"/>
                <w:color w:val="000000"/>
                <w:sz w:val="22"/>
              </w:rPr>
              <w:t xml:space="preserve">146.38 </w:t>
            </w:r>
          </w:p>
        </w:tc>
      </w:tr>
    </w:tbl>
    <w:p w14:paraId="4A399609" w14:textId="06B433E7" w:rsidR="00B968D7" w:rsidRDefault="00B968D7" w:rsidP="004A635C">
      <w:pPr>
        <w:pStyle w:val="SMText"/>
        <w:ind w:firstLine="0"/>
        <w:rPr>
          <w:rFonts w:ascii="Myriad Pro" w:hAnsi="Myriad Pro"/>
          <w:sz w:val="22"/>
          <w:szCs w:val="22"/>
        </w:rPr>
      </w:pPr>
    </w:p>
    <w:p w14:paraId="4A37E8CD" w14:textId="3D96841E" w:rsidR="004A635C" w:rsidRPr="004A635C" w:rsidRDefault="004A635C" w:rsidP="004A635C">
      <w:pPr>
        <w:pStyle w:val="SMText"/>
        <w:ind w:firstLine="0"/>
        <w:jc w:val="center"/>
        <w:rPr>
          <w:rFonts w:ascii="Myriad Pro" w:hAnsi="Myriad Pro"/>
          <w:sz w:val="22"/>
          <w:szCs w:val="22"/>
        </w:rPr>
      </w:pPr>
      <w:r>
        <w:rPr>
          <w:b/>
          <w:noProof/>
        </w:rPr>
        <w:drawing>
          <wp:inline distT="0" distB="0" distL="0" distR="0" wp14:anchorId="525752E1" wp14:editId="3A2F1574">
            <wp:extent cx="3711008" cy="3455724"/>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3747" cy="3467587"/>
                    </a:xfrm>
                    <a:prstGeom prst="rect">
                      <a:avLst/>
                    </a:prstGeom>
                    <a:noFill/>
                    <a:ln>
                      <a:noFill/>
                    </a:ln>
                  </pic:spPr>
                </pic:pic>
              </a:graphicData>
            </a:graphic>
          </wp:inline>
        </w:drawing>
      </w:r>
    </w:p>
    <w:p w14:paraId="0ED5F393" w14:textId="7DFBE55F" w:rsidR="004A635C" w:rsidRDefault="004A635C" w:rsidP="004A635C">
      <w:pPr>
        <w:pStyle w:val="SMHeading"/>
        <w:rPr>
          <w:rFonts w:ascii="Myriad Pro" w:hAnsi="Myriad Pro"/>
          <w:b w:val="0"/>
          <w:sz w:val="22"/>
          <w:szCs w:val="22"/>
        </w:rPr>
      </w:pPr>
      <w:r w:rsidRPr="005314B5">
        <w:rPr>
          <w:rFonts w:ascii="Myriad Pro" w:hAnsi="Myriad Pro"/>
          <w:sz w:val="22"/>
          <w:szCs w:val="22"/>
        </w:rPr>
        <w:t>Figure S</w:t>
      </w:r>
      <w:r>
        <w:rPr>
          <w:rFonts w:ascii="Myriad Pro" w:hAnsi="Myriad Pro"/>
          <w:sz w:val="22"/>
          <w:szCs w:val="22"/>
        </w:rPr>
        <w:t>4</w:t>
      </w:r>
      <w:r w:rsidRPr="005314B5">
        <w:rPr>
          <w:rFonts w:ascii="Myriad Pro" w:hAnsi="Myriad Pro"/>
          <w:sz w:val="22"/>
          <w:szCs w:val="22"/>
        </w:rPr>
        <w:t xml:space="preserve">. </w:t>
      </w:r>
      <w:r w:rsidRPr="004A635C">
        <w:rPr>
          <w:rFonts w:ascii="Myriad Pro" w:hAnsi="Myriad Pro"/>
          <w:b w:val="0"/>
          <w:sz w:val="22"/>
          <w:szCs w:val="22"/>
        </w:rPr>
        <w:t>The Location of the existing dams in Sumatra</w:t>
      </w:r>
    </w:p>
    <w:p w14:paraId="39C68696" w14:textId="78279954" w:rsidR="00B968D7" w:rsidRDefault="00B968D7" w:rsidP="005314B5">
      <w:pPr>
        <w:pStyle w:val="SMcaption"/>
        <w:rPr>
          <w:rFonts w:ascii="Myriad Pro" w:hAnsi="Myriad Pro"/>
          <w:b/>
          <w:i/>
          <w:sz w:val="22"/>
          <w:szCs w:val="22"/>
        </w:rPr>
      </w:pPr>
    </w:p>
    <w:p w14:paraId="47BA493C" w14:textId="29378985" w:rsidR="004A635C" w:rsidRPr="005314B5" w:rsidRDefault="004A635C" w:rsidP="004A635C">
      <w:pPr>
        <w:pStyle w:val="SMHeading"/>
        <w:rPr>
          <w:rFonts w:ascii="Myriad Pro" w:hAnsi="Myriad Pro"/>
          <w:sz w:val="22"/>
          <w:szCs w:val="22"/>
        </w:rPr>
      </w:pPr>
      <w:bookmarkStart w:id="10" w:name="_Hlk22029406"/>
      <w:r w:rsidRPr="005314B5">
        <w:rPr>
          <w:rFonts w:ascii="Myriad Pro" w:hAnsi="Myriad Pro"/>
          <w:sz w:val="22"/>
          <w:szCs w:val="22"/>
        </w:rPr>
        <w:t>Text</w:t>
      </w:r>
      <w:r>
        <w:rPr>
          <w:rFonts w:ascii="Myriad Pro" w:hAnsi="Myriad Pro"/>
          <w:sz w:val="22"/>
          <w:szCs w:val="22"/>
        </w:rPr>
        <w:t xml:space="preserve"> </w:t>
      </w:r>
      <w:r w:rsidR="00DD25D3">
        <w:rPr>
          <w:rFonts w:ascii="Myriad Pro" w:hAnsi="Myriad Pro"/>
          <w:sz w:val="22"/>
          <w:szCs w:val="22"/>
        </w:rPr>
        <w:t xml:space="preserve">S5 </w:t>
      </w:r>
    </w:p>
    <w:p w14:paraId="14FAF289" w14:textId="351CB4DE" w:rsidR="004A635C" w:rsidRDefault="004A635C" w:rsidP="004A635C">
      <w:pPr>
        <w:pStyle w:val="SMText"/>
        <w:ind w:firstLine="0"/>
        <w:rPr>
          <w:rFonts w:ascii="Myriad Pro" w:hAnsi="Myriad Pro"/>
          <w:sz w:val="22"/>
          <w:szCs w:val="22"/>
        </w:rPr>
      </w:pPr>
      <w:bookmarkStart w:id="11" w:name="_Hlk21596736"/>
      <w:bookmarkEnd w:id="10"/>
      <w:r w:rsidRPr="004A635C">
        <w:rPr>
          <w:rFonts w:ascii="Myriad Pro" w:hAnsi="Myriad Pro"/>
          <w:sz w:val="22"/>
          <w:szCs w:val="22"/>
        </w:rPr>
        <w:t>We evaluated the sensitivity of fossil fuel cost on our results to determine the sensitivity of our results to fuel volatility (shown in Figure S4). We adjusted the fossil fuel cost from 0 to 0.25$/kWh, and the fossil fuel cost range is generally approximately 0.05-0.175$/kWh</w:t>
      </w:r>
      <w:r w:rsidRPr="004A635C">
        <w:rPr>
          <w:rFonts w:ascii="Myriad Pro" w:hAnsi="Myriad Pro"/>
          <w:sz w:val="22"/>
          <w:szCs w:val="22"/>
        </w:rPr>
        <w:fldChar w:fldCharType="begin" w:fldLock="1"/>
      </w:r>
      <w:r w:rsidRPr="004A635C">
        <w:rPr>
          <w:rFonts w:ascii="Myriad Pro" w:hAnsi="Myriad Pro"/>
          <w:sz w:val="22"/>
          <w:szCs w:val="22"/>
        </w:rPr>
        <w:instrText>ADDIN CSL_CITATION {"citationItems":[{"id":"ITEM-1","itemData":{"abstract":"This comprehensive cost study from the International Renewable Energy Agency (IRENA) highlights the latest trends for each of the main renewable power technologies.","author":[{"dropping-particle":"","family":"IRENA","given":"","non-dropping-particle":"","parse-names":false,"suffix":""}],"container-title":"International Rewable Energy Agency","id":"ITEM-1","issued":{"date-parts":[["2019"]]},"number-of-pages":"88","publisher-place":"Abu Dhabi","title":"Renewable Power Generation Costs in 2018","type":"report"},"uris":["http://www.mendeley.com/documents/?uuid=dec36d3f-2f0b-3b57-9ab4-47ba5f316887"]}],"mendeley":{"formattedCitation":"(IRENA, 2019)","plainTextFormattedCitation":"(IRENA, 2019)","previouslyFormattedCitation":"(IRENA, 2019)"},"properties":{"noteIndex":0},"schema":"https://github.com/citation-style-language/schema/raw/master/csl-citation.json"}</w:instrText>
      </w:r>
      <w:r w:rsidRPr="004A635C">
        <w:rPr>
          <w:rFonts w:ascii="Myriad Pro" w:hAnsi="Myriad Pro"/>
          <w:sz w:val="22"/>
          <w:szCs w:val="22"/>
        </w:rPr>
        <w:fldChar w:fldCharType="separate"/>
      </w:r>
      <w:r w:rsidRPr="004A635C">
        <w:rPr>
          <w:rFonts w:ascii="Myriad Pro" w:hAnsi="Myriad Pro"/>
          <w:noProof/>
          <w:sz w:val="22"/>
          <w:szCs w:val="22"/>
        </w:rPr>
        <w:t>(IRENA, 2019)</w:t>
      </w:r>
      <w:r w:rsidRPr="004A635C">
        <w:rPr>
          <w:rFonts w:ascii="Myriad Pro" w:hAnsi="Myriad Pro"/>
          <w:sz w:val="22"/>
          <w:szCs w:val="22"/>
        </w:rPr>
        <w:fldChar w:fldCharType="end"/>
      </w:r>
      <w:r w:rsidRPr="004A635C">
        <w:rPr>
          <w:rFonts w:ascii="Myriad Pro" w:hAnsi="Myriad Pro"/>
          <w:sz w:val="22"/>
          <w:szCs w:val="22"/>
        </w:rPr>
        <w:t xml:space="preserve">. The sensitivity results presented that the effects of fossil fuel cost on our results are </w:t>
      </w:r>
      <w:r w:rsidRPr="004A635C">
        <w:rPr>
          <w:rFonts w:ascii="Myriad Pro" w:hAnsi="Myriad Pro"/>
          <w:sz w:val="22"/>
          <w:szCs w:val="22"/>
        </w:rPr>
        <w:lastRenderedPageBreak/>
        <w:t xml:space="preserve">moderate among the fossil fuel cost range. This result is because the actual hydropower generation could be influenced notably by fossil fuel volatility </w:t>
      </w:r>
      <w:r w:rsidRPr="004A635C">
        <w:rPr>
          <w:rFonts w:ascii="Myriad Pro" w:hAnsi="Myriad Pro"/>
          <w:sz w:val="22"/>
          <w:szCs w:val="22"/>
        </w:rPr>
        <w:fldChar w:fldCharType="begin" w:fldLock="1"/>
      </w:r>
      <w:r w:rsidRPr="004A635C">
        <w:rPr>
          <w:rFonts w:ascii="Myriad Pro" w:hAnsi="Myriad Pro"/>
          <w:sz w:val="22"/>
          <w:szCs w:val="22"/>
        </w:rPr>
        <w:instrText>ADDIN CSL_CITATION {"citationItems":[{"id":"ITEM-1","itemData":{"DOI":"10.1016/j.renene.2017.02.020","ISSN":"18790682","abstract":"Large-scale deployment of renewable energy sources (RES) plays a central role in reducing CO2emissions from energy supply systems, but intermittency from solar and wind technologies presents integration challenges. High temperature co-electrolysis of steam and CO2in power-to-gas (PtG) and power-to-liquid (PtL) configurations could utilize excess intermittent electricity by converting it into chemical fuels. These can then be directly consumed in other sectors, such as transportation and heating, or used as power storage. Here, we investigate the impact of carbon policy and fossil fuel prices on the economic and engineering potential of PtG and PtL systems as storage for intermittent renewable electricity and as a source of low-carbon heating and transportation energy in the Alpine region. We employ a spatially and temporally explicit optimization approach of RES, PtG, PtL and fossil technologies in the electricity, heating, and transportation sectors, using the BeWhere model. Results indicate that large-scale deployment of PtG and PtL technologies for producing chemical fuels from excess intermittent electricity is feasible, particularly when incentivized by carbon prices. Depending on carbon and fossil fuel price, 0.15–15 million tonnes/year of captured CO2can be used in the synthesis of the chemical fuels, displacing up to 11% of current fossil fuel use in transportation. By providing a physical link between the electricity, transportation, and heating sectors, PtG and PtL technologies can enable greater integration of RES into the energy supply chain globally.","author":[{"dropping-particle":"","family":"Mesfun","given":"Sennai","non-dropping-particle":"","parse-names":false,"suffix":""},{"dropping-particle":"","family":"Sanchez","given":"Daniel L.","non-dropping-particle":"","parse-names":false,"suffix":""},{"dropping-particle":"","family":"Leduc","given":"Sylvain","non-dropping-particle":"","parse-names":false,"suffix":""},{"dropping-particle":"","family":"Wetterlund","given":"Elisabeth","non-dropping-particle":"","parse-names":false,"suffix":""},{"dropping-particle":"","family":"Lundgren","given":"Joakim","non-dropping-particle":"","parse-names":false,"suffix":""},{"dropping-particle":"","family":"Biberacher","given":"Markus","non-dropping-particle":"","parse-names":false,"suffix":""},{"dropping-particle":"","family":"Kraxner","given":"Florian","non-dropping-particle":"","parse-names":false,"suffix":""}],"container-title":"Renewable Energy","id":"ITEM-1","issued":{"date-parts":[["2017"]]},"page":"361-372","publisher":"Elsevier Ltd","title":"Power-to-gas and power-to-liquid for managing renewable electricity intermittency in the Alpine Region","type":"article-journal","volume":"107"},"uris":["http://www.mendeley.com/documents/?uuid=1c607db7-22a9-4e03-9a60-bf2d43593e3e"]}],"mendeley":{"formattedCitation":"(Mesfun et al., 2017)","plainTextFormattedCitation":"(Mesfun et al., 2017)","previouslyFormattedCitation":"(Mesfun et al., 2017)"},"properties":{"noteIndex":0},"schema":"https://github.com/citation-style-language/schema/raw/master/csl-citation.json"}</w:instrText>
      </w:r>
      <w:r w:rsidRPr="004A635C">
        <w:rPr>
          <w:rFonts w:ascii="Myriad Pro" w:hAnsi="Myriad Pro"/>
          <w:sz w:val="22"/>
          <w:szCs w:val="22"/>
        </w:rPr>
        <w:fldChar w:fldCharType="separate"/>
      </w:r>
      <w:r w:rsidRPr="004A635C">
        <w:rPr>
          <w:rFonts w:ascii="Myriad Pro" w:hAnsi="Myriad Pro"/>
          <w:noProof/>
          <w:sz w:val="22"/>
          <w:szCs w:val="22"/>
        </w:rPr>
        <w:t>(Mesfun et al., 2017)</w:t>
      </w:r>
      <w:r w:rsidRPr="004A635C">
        <w:rPr>
          <w:rFonts w:ascii="Myriad Pro" w:hAnsi="Myriad Pro"/>
          <w:sz w:val="22"/>
          <w:szCs w:val="22"/>
        </w:rPr>
        <w:fldChar w:fldCharType="end"/>
      </w:r>
      <w:r w:rsidRPr="004A635C">
        <w:rPr>
          <w:rFonts w:ascii="Myriad Pro" w:hAnsi="Myriad Pro"/>
          <w:sz w:val="22"/>
          <w:szCs w:val="22"/>
        </w:rPr>
        <w:t>. However, in our study, we mainly assessed the potential hydropower production, rather than the actual hydropower production. Therefore, our results are not sensitive to fossil fuel volatility.</w:t>
      </w:r>
    </w:p>
    <w:p w14:paraId="2953686A" w14:textId="77777777" w:rsidR="004A635C" w:rsidRDefault="004A635C" w:rsidP="004A635C">
      <w:pPr>
        <w:pStyle w:val="SMText"/>
        <w:ind w:firstLine="0"/>
        <w:rPr>
          <w:rFonts w:ascii="Myriad Pro" w:hAnsi="Myriad Pro"/>
          <w:sz w:val="22"/>
          <w:szCs w:val="22"/>
        </w:rPr>
      </w:pPr>
    </w:p>
    <w:p w14:paraId="0BBFDF0B" w14:textId="143492C3" w:rsidR="004A635C" w:rsidRPr="004A635C" w:rsidRDefault="004A635C" w:rsidP="004A635C">
      <w:pPr>
        <w:pStyle w:val="SMText"/>
        <w:ind w:firstLine="0"/>
        <w:jc w:val="center"/>
        <w:rPr>
          <w:rFonts w:ascii="Myriad Pro" w:hAnsi="Myriad Pro"/>
          <w:sz w:val="22"/>
          <w:szCs w:val="22"/>
        </w:rPr>
      </w:pPr>
      <w:r w:rsidRPr="00B253E5">
        <w:rPr>
          <w:rFonts w:hint="eastAsia"/>
          <w:noProof/>
        </w:rPr>
        <w:drawing>
          <wp:inline distT="0" distB="0" distL="0" distR="0" wp14:anchorId="3FEEF857" wp14:editId="7C048901">
            <wp:extent cx="3627148" cy="290297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2910" cy="2907590"/>
                    </a:xfrm>
                    <a:prstGeom prst="rect">
                      <a:avLst/>
                    </a:prstGeom>
                    <a:noFill/>
                    <a:ln>
                      <a:noFill/>
                    </a:ln>
                  </pic:spPr>
                </pic:pic>
              </a:graphicData>
            </a:graphic>
          </wp:inline>
        </w:drawing>
      </w:r>
    </w:p>
    <w:bookmarkEnd w:id="11"/>
    <w:p w14:paraId="3A803D36" w14:textId="5693984D" w:rsidR="004A635C" w:rsidRDefault="004A635C" w:rsidP="004A635C">
      <w:pPr>
        <w:pStyle w:val="SMHeading"/>
        <w:rPr>
          <w:rFonts w:ascii="Myriad Pro" w:hAnsi="Myriad Pro"/>
          <w:b w:val="0"/>
          <w:sz w:val="22"/>
          <w:szCs w:val="22"/>
        </w:rPr>
      </w:pPr>
      <w:r w:rsidRPr="005314B5">
        <w:rPr>
          <w:rFonts w:ascii="Myriad Pro" w:hAnsi="Myriad Pro"/>
          <w:sz w:val="22"/>
          <w:szCs w:val="22"/>
        </w:rPr>
        <w:t>Figure S</w:t>
      </w:r>
      <w:r>
        <w:rPr>
          <w:rFonts w:ascii="Myriad Pro" w:hAnsi="Myriad Pro"/>
          <w:sz w:val="22"/>
          <w:szCs w:val="22"/>
        </w:rPr>
        <w:t>5</w:t>
      </w:r>
      <w:r w:rsidRPr="005314B5">
        <w:rPr>
          <w:rFonts w:ascii="Myriad Pro" w:hAnsi="Myriad Pro"/>
          <w:sz w:val="22"/>
          <w:szCs w:val="22"/>
        </w:rPr>
        <w:t xml:space="preserve">. </w:t>
      </w:r>
      <w:r w:rsidRPr="004A635C">
        <w:rPr>
          <w:rFonts w:ascii="Myriad Pro" w:hAnsi="Myriad Pro"/>
          <w:b w:val="0"/>
          <w:sz w:val="22"/>
          <w:szCs w:val="22"/>
        </w:rPr>
        <w:t>Sensitivity of fossil fuel on hydropower production</w:t>
      </w:r>
    </w:p>
    <w:p w14:paraId="4D993DF2" w14:textId="77777777" w:rsidR="004A635C" w:rsidRDefault="004A635C" w:rsidP="005314B5">
      <w:pPr>
        <w:pStyle w:val="SMcaption"/>
        <w:rPr>
          <w:rFonts w:ascii="Myriad Pro" w:hAnsi="Myriad Pro"/>
          <w:b/>
          <w:i/>
          <w:sz w:val="22"/>
          <w:szCs w:val="22"/>
        </w:rPr>
        <w:sectPr w:rsidR="004A635C" w:rsidSect="008B4E84">
          <w:headerReference w:type="default" r:id="rId17"/>
          <w:footerReference w:type="default" r:id="rId18"/>
          <w:pgSz w:w="12240" w:h="15840"/>
          <w:pgMar w:top="1440" w:right="1800" w:bottom="1440" w:left="1800" w:header="720" w:footer="720" w:gutter="0"/>
          <w:lnNumType w:countBy="1" w:restart="continuous"/>
          <w:pgNumType w:start="1"/>
          <w:cols w:space="720"/>
          <w:docGrid w:linePitch="360"/>
        </w:sectPr>
      </w:pPr>
    </w:p>
    <w:p w14:paraId="2F54CEE5" w14:textId="77777777" w:rsidR="004A635C" w:rsidRDefault="004A635C" w:rsidP="004A635C">
      <w:pPr>
        <w:pStyle w:val="Heading-Secondary"/>
        <w:ind w:left="0"/>
        <w:rPr>
          <w:b/>
          <w:bCs w:val="0"/>
        </w:rPr>
      </w:pPr>
      <w:r>
        <w:rPr>
          <w:b/>
          <w:bCs w:val="0"/>
        </w:rPr>
        <w:lastRenderedPageBreak/>
        <w:t>Reference</w:t>
      </w:r>
    </w:p>
    <w:p w14:paraId="37155531" w14:textId="75259A87" w:rsidR="004A635C" w:rsidRPr="004A635C" w:rsidRDefault="004A635C" w:rsidP="004A635C">
      <w:pPr>
        <w:autoSpaceDE w:val="0"/>
        <w:autoSpaceDN w:val="0"/>
        <w:adjustRightInd w:val="0"/>
        <w:ind w:left="480" w:hanging="480"/>
        <w:rPr>
          <w:rFonts w:ascii="Myriad Pro" w:hAnsi="Myriad Pro"/>
          <w:noProof/>
          <w:sz w:val="22"/>
          <w:szCs w:val="24"/>
        </w:rPr>
      </w:pPr>
      <w:r>
        <w:rPr>
          <w:rFonts w:ascii="Myriad Pro" w:hAnsi="Myriad Pro"/>
          <w:b/>
          <w:i/>
          <w:sz w:val="22"/>
          <w:szCs w:val="22"/>
        </w:rPr>
        <w:fldChar w:fldCharType="begin" w:fldLock="1"/>
      </w:r>
      <w:r>
        <w:rPr>
          <w:rFonts w:ascii="Myriad Pro" w:hAnsi="Myriad Pro"/>
          <w:b/>
          <w:i/>
          <w:sz w:val="22"/>
          <w:szCs w:val="22"/>
        </w:rPr>
        <w:instrText xml:space="preserve">ADDIN Mendeley Bibliography CSL_BIBLIOGRAPHY </w:instrText>
      </w:r>
      <w:r>
        <w:rPr>
          <w:rFonts w:ascii="Myriad Pro" w:hAnsi="Myriad Pro"/>
          <w:b/>
          <w:i/>
          <w:sz w:val="22"/>
          <w:szCs w:val="22"/>
        </w:rPr>
        <w:fldChar w:fldCharType="separate"/>
      </w:r>
      <w:r w:rsidRPr="004A635C">
        <w:rPr>
          <w:rFonts w:ascii="Myriad Pro" w:hAnsi="Myriad Pro"/>
          <w:noProof/>
          <w:sz w:val="22"/>
          <w:szCs w:val="24"/>
        </w:rPr>
        <w:t xml:space="preserve">Hasan, M. H., Mahlia, T. M. I., &amp; Nur, H. (2012). A review on energy scenario and sustainable energy in Indonesia. </w:t>
      </w:r>
      <w:r w:rsidRPr="004A635C">
        <w:rPr>
          <w:rFonts w:ascii="Myriad Pro" w:hAnsi="Myriad Pro"/>
          <w:i/>
          <w:iCs/>
          <w:noProof/>
          <w:sz w:val="22"/>
          <w:szCs w:val="24"/>
        </w:rPr>
        <w:t>Renewable and Sustainable Energy Reviews</w:t>
      </w:r>
      <w:r w:rsidRPr="004A635C">
        <w:rPr>
          <w:rFonts w:ascii="Myriad Pro" w:hAnsi="Myriad Pro"/>
          <w:noProof/>
          <w:sz w:val="22"/>
          <w:szCs w:val="24"/>
        </w:rPr>
        <w:t xml:space="preserve">, </w:t>
      </w:r>
      <w:r w:rsidRPr="004A635C">
        <w:rPr>
          <w:rFonts w:ascii="Myriad Pro" w:hAnsi="Myriad Pro"/>
          <w:i/>
          <w:iCs/>
          <w:noProof/>
          <w:sz w:val="22"/>
          <w:szCs w:val="24"/>
        </w:rPr>
        <w:t>16</w:t>
      </w:r>
      <w:r w:rsidRPr="004A635C">
        <w:rPr>
          <w:rFonts w:ascii="Myriad Pro" w:hAnsi="Myriad Pro"/>
          <w:noProof/>
          <w:sz w:val="22"/>
          <w:szCs w:val="24"/>
        </w:rPr>
        <w:t>(4), 2316–2328. https://doi.org/10.1016/j.rser.2011.12.007</w:t>
      </w:r>
    </w:p>
    <w:p w14:paraId="4871FF75" w14:textId="77777777" w:rsidR="004A635C" w:rsidRPr="004A635C" w:rsidRDefault="004A635C" w:rsidP="004A635C">
      <w:pPr>
        <w:autoSpaceDE w:val="0"/>
        <w:autoSpaceDN w:val="0"/>
        <w:adjustRightInd w:val="0"/>
        <w:ind w:left="480" w:hanging="480"/>
        <w:rPr>
          <w:rFonts w:ascii="Myriad Pro" w:hAnsi="Myriad Pro"/>
          <w:noProof/>
          <w:sz w:val="22"/>
          <w:szCs w:val="24"/>
        </w:rPr>
      </w:pPr>
      <w:r w:rsidRPr="004A635C">
        <w:rPr>
          <w:rFonts w:ascii="Myriad Pro" w:hAnsi="Myriad Pro"/>
          <w:noProof/>
          <w:sz w:val="22"/>
          <w:szCs w:val="24"/>
        </w:rPr>
        <w:t xml:space="preserve">IRENA. (2019). </w:t>
      </w:r>
      <w:r w:rsidRPr="004A635C">
        <w:rPr>
          <w:rFonts w:ascii="Myriad Pro" w:hAnsi="Myriad Pro"/>
          <w:i/>
          <w:iCs/>
          <w:noProof/>
          <w:sz w:val="22"/>
          <w:szCs w:val="24"/>
        </w:rPr>
        <w:t>Renewable Power Generation Costs in 2018</w:t>
      </w:r>
      <w:r w:rsidRPr="004A635C">
        <w:rPr>
          <w:rFonts w:ascii="Myriad Pro" w:hAnsi="Myriad Pro"/>
          <w:noProof/>
          <w:sz w:val="22"/>
          <w:szCs w:val="24"/>
        </w:rPr>
        <w:t xml:space="preserve">. </w:t>
      </w:r>
      <w:r w:rsidRPr="004A635C">
        <w:rPr>
          <w:rFonts w:ascii="Myriad Pro" w:hAnsi="Myriad Pro"/>
          <w:i/>
          <w:iCs/>
          <w:noProof/>
          <w:sz w:val="22"/>
          <w:szCs w:val="24"/>
        </w:rPr>
        <w:t>International Rewable Energy Agency</w:t>
      </w:r>
      <w:r w:rsidRPr="004A635C">
        <w:rPr>
          <w:rFonts w:ascii="Myriad Pro" w:hAnsi="Myriad Pro"/>
          <w:noProof/>
          <w:sz w:val="22"/>
          <w:szCs w:val="24"/>
        </w:rPr>
        <w:t>. Abu Dhabi. Retrieved from https://irena.org/publications/2019/May/Renewable-power-generation-costs-in-2018</w:t>
      </w:r>
    </w:p>
    <w:p w14:paraId="5862105B" w14:textId="77777777" w:rsidR="004A635C" w:rsidRPr="004A635C" w:rsidRDefault="004A635C" w:rsidP="004A635C">
      <w:pPr>
        <w:autoSpaceDE w:val="0"/>
        <w:autoSpaceDN w:val="0"/>
        <w:adjustRightInd w:val="0"/>
        <w:ind w:left="480" w:hanging="480"/>
        <w:rPr>
          <w:rFonts w:ascii="Myriad Pro" w:hAnsi="Myriad Pro"/>
          <w:noProof/>
          <w:sz w:val="22"/>
          <w:szCs w:val="24"/>
        </w:rPr>
      </w:pPr>
      <w:r w:rsidRPr="004A635C">
        <w:rPr>
          <w:rFonts w:ascii="Myriad Pro" w:hAnsi="Myriad Pro"/>
          <w:noProof/>
          <w:sz w:val="22"/>
          <w:szCs w:val="24"/>
        </w:rPr>
        <w:t xml:space="preserve">Leduc, S., Lundgren, J., Franklin, O., &amp; Dotzauer, E. (2010). Location of a biomass based methanol production plant: A dynamic problem in northern Sweden. </w:t>
      </w:r>
      <w:r w:rsidRPr="004A635C">
        <w:rPr>
          <w:rFonts w:ascii="Myriad Pro" w:hAnsi="Myriad Pro"/>
          <w:i/>
          <w:iCs/>
          <w:noProof/>
          <w:sz w:val="22"/>
          <w:szCs w:val="24"/>
        </w:rPr>
        <w:t>Applied Energy</w:t>
      </w:r>
      <w:r w:rsidRPr="004A635C">
        <w:rPr>
          <w:rFonts w:ascii="Myriad Pro" w:hAnsi="Myriad Pro"/>
          <w:noProof/>
          <w:sz w:val="22"/>
          <w:szCs w:val="24"/>
        </w:rPr>
        <w:t>. https://doi.org/10.1016/j.apenergy.2009.02.009</w:t>
      </w:r>
    </w:p>
    <w:p w14:paraId="451A5FA1" w14:textId="77777777" w:rsidR="004A635C" w:rsidRPr="004A635C" w:rsidRDefault="004A635C" w:rsidP="004A635C">
      <w:pPr>
        <w:autoSpaceDE w:val="0"/>
        <w:autoSpaceDN w:val="0"/>
        <w:adjustRightInd w:val="0"/>
        <w:ind w:left="480" w:hanging="480"/>
        <w:rPr>
          <w:rFonts w:ascii="Myriad Pro" w:hAnsi="Myriad Pro"/>
          <w:noProof/>
          <w:sz w:val="22"/>
          <w:szCs w:val="24"/>
        </w:rPr>
      </w:pPr>
      <w:r w:rsidRPr="004A635C">
        <w:rPr>
          <w:rFonts w:ascii="Myriad Pro" w:hAnsi="Myriad Pro"/>
          <w:noProof/>
          <w:sz w:val="22"/>
          <w:szCs w:val="24"/>
        </w:rPr>
        <w:t xml:space="preserve">Leduc, Sylvain. (2009). </w:t>
      </w:r>
      <w:r w:rsidRPr="004A635C">
        <w:rPr>
          <w:rFonts w:ascii="Myriad Pro" w:hAnsi="Myriad Pro"/>
          <w:i/>
          <w:iCs/>
          <w:noProof/>
          <w:sz w:val="22"/>
          <w:szCs w:val="24"/>
        </w:rPr>
        <w:t>Development of an optimization model for the location of biofuel production plants, PhD Thesis</w:t>
      </w:r>
      <w:r w:rsidRPr="004A635C">
        <w:rPr>
          <w:rFonts w:ascii="Myriad Pro" w:hAnsi="Myriad Pro"/>
          <w:noProof/>
          <w:sz w:val="22"/>
          <w:szCs w:val="24"/>
        </w:rPr>
        <w:t xml:space="preserve">. </w:t>
      </w:r>
      <w:r w:rsidRPr="004A635C">
        <w:rPr>
          <w:rFonts w:ascii="Myriad Pro" w:hAnsi="Myriad Pro"/>
          <w:i/>
          <w:iCs/>
          <w:noProof/>
          <w:sz w:val="22"/>
          <w:szCs w:val="24"/>
        </w:rPr>
        <w:t>Doctoral thesis</w:t>
      </w:r>
      <w:r w:rsidRPr="004A635C">
        <w:rPr>
          <w:rFonts w:ascii="Myriad Pro" w:hAnsi="Myriad Pro"/>
          <w:noProof/>
          <w:sz w:val="22"/>
          <w:szCs w:val="24"/>
        </w:rPr>
        <w:t>. https://doi.org/ISBN 978-91-86233-48-8, ISSN 1402-1544</w:t>
      </w:r>
    </w:p>
    <w:p w14:paraId="1FD384E6" w14:textId="77777777" w:rsidR="004A635C" w:rsidRPr="004A635C" w:rsidRDefault="004A635C" w:rsidP="004A635C">
      <w:pPr>
        <w:autoSpaceDE w:val="0"/>
        <w:autoSpaceDN w:val="0"/>
        <w:adjustRightInd w:val="0"/>
        <w:ind w:left="480" w:hanging="480"/>
        <w:rPr>
          <w:rFonts w:ascii="Myriad Pro" w:hAnsi="Myriad Pro"/>
          <w:noProof/>
          <w:sz w:val="22"/>
          <w:szCs w:val="24"/>
        </w:rPr>
      </w:pPr>
      <w:r w:rsidRPr="004A635C">
        <w:rPr>
          <w:rFonts w:ascii="Myriad Pro" w:hAnsi="Myriad Pro"/>
          <w:noProof/>
          <w:sz w:val="22"/>
          <w:szCs w:val="24"/>
        </w:rPr>
        <w:t xml:space="preserve">Mesfun, S., Sanchez, D. L., Leduc, S., Wetterlund, E., Lundgren, J., Biberacher, M., &amp; Kraxner, F. (2017). Power-to-gas and power-to-liquid for managing renewable electricity intermittency in the Alpine Region. </w:t>
      </w:r>
      <w:r w:rsidRPr="004A635C">
        <w:rPr>
          <w:rFonts w:ascii="Myriad Pro" w:hAnsi="Myriad Pro"/>
          <w:i/>
          <w:iCs/>
          <w:noProof/>
          <w:sz w:val="22"/>
          <w:szCs w:val="24"/>
        </w:rPr>
        <w:t>Renewable Energy</w:t>
      </w:r>
      <w:r w:rsidRPr="004A635C">
        <w:rPr>
          <w:rFonts w:ascii="Myriad Pro" w:hAnsi="Myriad Pro"/>
          <w:noProof/>
          <w:sz w:val="22"/>
          <w:szCs w:val="24"/>
        </w:rPr>
        <w:t xml:space="preserve">, </w:t>
      </w:r>
      <w:r w:rsidRPr="004A635C">
        <w:rPr>
          <w:rFonts w:ascii="Myriad Pro" w:hAnsi="Myriad Pro"/>
          <w:i/>
          <w:iCs/>
          <w:noProof/>
          <w:sz w:val="22"/>
          <w:szCs w:val="24"/>
        </w:rPr>
        <w:t>107</w:t>
      </w:r>
      <w:r w:rsidRPr="004A635C">
        <w:rPr>
          <w:rFonts w:ascii="Myriad Pro" w:hAnsi="Myriad Pro"/>
          <w:noProof/>
          <w:sz w:val="22"/>
          <w:szCs w:val="24"/>
        </w:rPr>
        <w:t>, 361–372. https://doi.org/10.1016/j.renene.2017.02.020</w:t>
      </w:r>
    </w:p>
    <w:p w14:paraId="109E2421" w14:textId="77777777" w:rsidR="004A635C" w:rsidRPr="004A635C" w:rsidRDefault="004A635C" w:rsidP="004A635C">
      <w:pPr>
        <w:autoSpaceDE w:val="0"/>
        <w:autoSpaceDN w:val="0"/>
        <w:adjustRightInd w:val="0"/>
        <w:ind w:left="480" w:hanging="480"/>
        <w:rPr>
          <w:rFonts w:ascii="Myriad Pro" w:hAnsi="Myriad Pro"/>
          <w:noProof/>
          <w:sz w:val="22"/>
          <w:szCs w:val="24"/>
        </w:rPr>
      </w:pPr>
      <w:r w:rsidRPr="004A635C">
        <w:rPr>
          <w:rFonts w:ascii="Myriad Pro" w:hAnsi="Myriad Pro"/>
          <w:noProof/>
          <w:sz w:val="22"/>
          <w:szCs w:val="24"/>
        </w:rPr>
        <w:t xml:space="preserve">Mesfun, S., Leduc, S., Patrizio, P., Wetterlund, E., Mendoza-Ponce, A., Lammens, T., et al. (2018). Spatio-temporal assessment of integrating intermittent electricity in the EU and Western Balkans power sector under ambitious CO2emission policies. </w:t>
      </w:r>
      <w:r w:rsidRPr="004A635C">
        <w:rPr>
          <w:rFonts w:ascii="Myriad Pro" w:hAnsi="Myriad Pro"/>
          <w:i/>
          <w:iCs/>
          <w:noProof/>
          <w:sz w:val="22"/>
          <w:szCs w:val="24"/>
        </w:rPr>
        <w:t>Energy</w:t>
      </w:r>
      <w:r w:rsidRPr="004A635C">
        <w:rPr>
          <w:rFonts w:ascii="Myriad Pro" w:hAnsi="Myriad Pro"/>
          <w:noProof/>
          <w:sz w:val="22"/>
          <w:szCs w:val="24"/>
        </w:rPr>
        <w:t xml:space="preserve">, </w:t>
      </w:r>
      <w:r w:rsidRPr="004A635C">
        <w:rPr>
          <w:rFonts w:ascii="Myriad Pro" w:hAnsi="Myriad Pro"/>
          <w:i/>
          <w:iCs/>
          <w:noProof/>
          <w:sz w:val="22"/>
          <w:szCs w:val="24"/>
        </w:rPr>
        <w:t>164</w:t>
      </w:r>
      <w:r w:rsidRPr="004A635C">
        <w:rPr>
          <w:rFonts w:ascii="Myriad Pro" w:hAnsi="Myriad Pro"/>
          <w:noProof/>
          <w:sz w:val="22"/>
          <w:szCs w:val="24"/>
        </w:rPr>
        <w:t>, 676–693. https://doi.org/10.1016/j.energy.2018.09.034</w:t>
      </w:r>
    </w:p>
    <w:p w14:paraId="1DDCBEC9" w14:textId="77777777" w:rsidR="004A635C" w:rsidRPr="004A635C" w:rsidRDefault="004A635C" w:rsidP="004A635C">
      <w:pPr>
        <w:autoSpaceDE w:val="0"/>
        <w:autoSpaceDN w:val="0"/>
        <w:adjustRightInd w:val="0"/>
        <w:ind w:left="480" w:hanging="480"/>
        <w:rPr>
          <w:rFonts w:ascii="Myriad Pro" w:hAnsi="Myriad Pro"/>
          <w:noProof/>
          <w:sz w:val="22"/>
          <w:szCs w:val="24"/>
        </w:rPr>
      </w:pPr>
      <w:r w:rsidRPr="004A635C">
        <w:rPr>
          <w:rFonts w:ascii="Myriad Pro" w:hAnsi="Myriad Pro"/>
          <w:noProof/>
          <w:sz w:val="22"/>
          <w:szCs w:val="24"/>
        </w:rPr>
        <w:t xml:space="preserve">Sperna Weiland, F. C., Vrugt, J. A., van Beek, R. L. P. H., Weerts, A. H., &amp; Bierkens, M. F. P. (2015). Significant uncertainty in global scale hydrological modeling from precipitation data errors. </w:t>
      </w:r>
      <w:r w:rsidRPr="004A635C">
        <w:rPr>
          <w:rFonts w:ascii="Myriad Pro" w:hAnsi="Myriad Pro"/>
          <w:i/>
          <w:iCs/>
          <w:noProof/>
          <w:sz w:val="22"/>
          <w:szCs w:val="24"/>
        </w:rPr>
        <w:t>Journal of Hydrology</w:t>
      </w:r>
      <w:r w:rsidRPr="004A635C">
        <w:rPr>
          <w:rFonts w:ascii="Myriad Pro" w:hAnsi="Myriad Pro"/>
          <w:noProof/>
          <w:sz w:val="22"/>
          <w:szCs w:val="24"/>
        </w:rPr>
        <w:t xml:space="preserve">, </w:t>
      </w:r>
      <w:r w:rsidRPr="004A635C">
        <w:rPr>
          <w:rFonts w:ascii="Myriad Pro" w:hAnsi="Myriad Pro"/>
          <w:i/>
          <w:iCs/>
          <w:noProof/>
          <w:sz w:val="22"/>
          <w:szCs w:val="24"/>
        </w:rPr>
        <w:t>529</w:t>
      </w:r>
      <w:r w:rsidRPr="004A635C">
        <w:rPr>
          <w:rFonts w:ascii="Myriad Pro" w:hAnsi="Myriad Pro"/>
          <w:noProof/>
          <w:sz w:val="22"/>
          <w:szCs w:val="24"/>
        </w:rPr>
        <w:t>, 1095–1115. https://doi.org/10.1016/j.jhydrol.2015.08.061</w:t>
      </w:r>
    </w:p>
    <w:p w14:paraId="388FF2B9" w14:textId="77777777" w:rsidR="004A635C" w:rsidRPr="004A635C" w:rsidRDefault="004A635C" w:rsidP="004A635C">
      <w:pPr>
        <w:autoSpaceDE w:val="0"/>
        <w:autoSpaceDN w:val="0"/>
        <w:adjustRightInd w:val="0"/>
        <w:ind w:left="480" w:hanging="480"/>
        <w:rPr>
          <w:rFonts w:ascii="Myriad Pro" w:hAnsi="Myriad Pro"/>
          <w:noProof/>
          <w:sz w:val="22"/>
          <w:szCs w:val="24"/>
        </w:rPr>
      </w:pPr>
      <w:r w:rsidRPr="004A635C">
        <w:rPr>
          <w:rFonts w:ascii="Myriad Pro" w:hAnsi="Myriad Pro"/>
          <w:noProof/>
          <w:sz w:val="22"/>
          <w:szCs w:val="24"/>
        </w:rPr>
        <w:t xml:space="preserve">Tebaldi, C., &amp; Knutti, R. (2007). The use of the multi-model ensemble in probabilistic climate projections. </w:t>
      </w:r>
      <w:r w:rsidRPr="004A635C">
        <w:rPr>
          <w:rFonts w:ascii="Myriad Pro" w:hAnsi="Myriad Pro"/>
          <w:i/>
          <w:iCs/>
          <w:noProof/>
          <w:sz w:val="22"/>
          <w:szCs w:val="24"/>
        </w:rPr>
        <w:t>Philosophical Transactions of the Royal Society A: Mathematical, Physical and Engineering Sciences</w:t>
      </w:r>
      <w:r w:rsidRPr="004A635C">
        <w:rPr>
          <w:rFonts w:ascii="Myriad Pro" w:hAnsi="Myriad Pro"/>
          <w:noProof/>
          <w:sz w:val="22"/>
          <w:szCs w:val="24"/>
        </w:rPr>
        <w:t xml:space="preserve">, </w:t>
      </w:r>
      <w:r w:rsidRPr="004A635C">
        <w:rPr>
          <w:rFonts w:ascii="Myriad Pro" w:hAnsi="Myriad Pro"/>
          <w:i/>
          <w:iCs/>
          <w:noProof/>
          <w:sz w:val="22"/>
          <w:szCs w:val="24"/>
        </w:rPr>
        <w:t>365</w:t>
      </w:r>
      <w:r w:rsidRPr="004A635C">
        <w:rPr>
          <w:rFonts w:ascii="Myriad Pro" w:hAnsi="Myriad Pro"/>
          <w:noProof/>
          <w:sz w:val="22"/>
          <w:szCs w:val="24"/>
        </w:rPr>
        <w:t>(1857), 2053–2075. https://doi.org/10.1098/rsta.2007.2076</w:t>
      </w:r>
    </w:p>
    <w:p w14:paraId="055F648C" w14:textId="77777777" w:rsidR="004A635C" w:rsidRPr="004A635C" w:rsidRDefault="004A635C" w:rsidP="004A635C">
      <w:pPr>
        <w:autoSpaceDE w:val="0"/>
        <w:autoSpaceDN w:val="0"/>
        <w:adjustRightInd w:val="0"/>
        <w:ind w:left="480" w:hanging="480"/>
        <w:rPr>
          <w:rFonts w:ascii="Myriad Pro" w:hAnsi="Myriad Pro"/>
          <w:noProof/>
          <w:sz w:val="22"/>
        </w:rPr>
      </w:pPr>
      <w:r w:rsidRPr="004A635C">
        <w:rPr>
          <w:rFonts w:ascii="Myriad Pro" w:hAnsi="Myriad Pro"/>
          <w:noProof/>
          <w:sz w:val="22"/>
          <w:szCs w:val="24"/>
        </w:rPr>
        <w:t xml:space="preserve">Timilsina, G. R., Csordás, S., &amp; Mevel, S. (2011). When does a carbon tax on fossil fuels stimulate biofuels? </w:t>
      </w:r>
      <w:r w:rsidRPr="004A635C">
        <w:rPr>
          <w:rFonts w:ascii="Myriad Pro" w:hAnsi="Myriad Pro"/>
          <w:i/>
          <w:iCs/>
          <w:noProof/>
          <w:sz w:val="22"/>
          <w:szCs w:val="24"/>
        </w:rPr>
        <w:t>Ecological Economics</w:t>
      </w:r>
      <w:r w:rsidRPr="004A635C">
        <w:rPr>
          <w:rFonts w:ascii="Myriad Pro" w:hAnsi="Myriad Pro"/>
          <w:noProof/>
          <w:sz w:val="22"/>
          <w:szCs w:val="24"/>
        </w:rPr>
        <w:t xml:space="preserve">, </w:t>
      </w:r>
      <w:r w:rsidRPr="004A635C">
        <w:rPr>
          <w:rFonts w:ascii="Myriad Pro" w:hAnsi="Myriad Pro"/>
          <w:i/>
          <w:iCs/>
          <w:noProof/>
          <w:sz w:val="22"/>
          <w:szCs w:val="24"/>
        </w:rPr>
        <w:t>70</w:t>
      </w:r>
      <w:r w:rsidRPr="004A635C">
        <w:rPr>
          <w:rFonts w:ascii="Myriad Pro" w:hAnsi="Myriad Pro"/>
          <w:noProof/>
          <w:sz w:val="22"/>
          <w:szCs w:val="24"/>
        </w:rPr>
        <w:t>(12), 2400–2415. https://doi.org/10.1016/j.ecolecon.2011.07.022</w:t>
      </w:r>
    </w:p>
    <w:p w14:paraId="1025F539" w14:textId="3922550D" w:rsidR="005314B5" w:rsidRDefault="004A635C" w:rsidP="005314B5">
      <w:pPr>
        <w:pStyle w:val="SMcaption"/>
        <w:rPr>
          <w:rFonts w:ascii="Myriad Pro" w:hAnsi="Myriad Pro"/>
          <w:b/>
          <w:i/>
          <w:sz w:val="22"/>
          <w:szCs w:val="22"/>
        </w:rPr>
      </w:pPr>
      <w:r>
        <w:rPr>
          <w:rFonts w:ascii="Myriad Pro" w:hAnsi="Myriad Pro"/>
          <w:b/>
          <w:i/>
          <w:sz w:val="22"/>
          <w:szCs w:val="22"/>
        </w:rPr>
        <w:fldChar w:fldCharType="end"/>
      </w:r>
    </w:p>
    <w:sectPr w:rsidR="005314B5"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E6776" w14:textId="77777777" w:rsidR="00CC1D14" w:rsidRDefault="00CC1D14">
      <w:r>
        <w:separator/>
      </w:r>
    </w:p>
  </w:endnote>
  <w:endnote w:type="continuationSeparator" w:id="0">
    <w:p w14:paraId="7037C79D" w14:textId="77777777" w:rsidR="00CC1D14" w:rsidRDefault="00CC1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847551"/>
      <w:docPartObj>
        <w:docPartGallery w:val="Page Numbers (Bottom of Page)"/>
        <w:docPartUnique/>
      </w:docPartObj>
    </w:sdtPr>
    <w:sdtEndPr/>
    <w:sdtContent>
      <w:p w14:paraId="27ADF935" w14:textId="77777777" w:rsidR="00DD25D3" w:rsidRDefault="00DD25D3">
        <w:pPr>
          <w:pStyle w:val="aff1"/>
          <w:jc w:val="center"/>
        </w:pPr>
        <w:r>
          <w:fldChar w:fldCharType="begin"/>
        </w:r>
        <w:r>
          <w:instrText>PAGE   \* MERGEFORMAT</w:instrText>
        </w:r>
        <w:r>
          <w:fldChar w:fldCharType="separate"/>
        </w:r>
        <w:r>
          <w:rPr>
            <w:lang w:val="zh-CN" w:eastAsia="zh-CN"/>
          </w:rPr>
          <w:t>2</w:t>
        </w:r>
        <w:r>
          <w:fldChar w:fldCharType="end"/>
        </w:r>
      </w:p>
    </w:sdtContent>
  </w:sdt>
  <w:p w14:paraId="583E22A5" w14:textId="77777777" w:rsidR="00DD25D3" w:rsidRDefault="00DD25D3" w:rsidP="00B719C8">
    <w:pPr>
      <w:pStyle w:val="aff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7777777" w:rsidR="00F125EE" w:rsidRDefault="00114193">
    <w:pPr>
      <w:pStyle w:val="aff1"/>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92699" w14:textId="77777777" w:rsidR="00CC1D14" w:rsidRDefault="00CC1D14">
      <w:r>
        <w:separator/>
      </w:r>
    </w:p>
  </w:footnote>
  <w:footnote w:type="continuationSeparator" w:id="0">
    <w:p w14:paraId="5540317B" w14:textId="77777777" w:rsidR="00CC1D14" w:rsidRDefault="00CC1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70C42" w14:textId="77777777" w:rsidR="00DD25D3" w:rsidRDefault="00DD25D3" w:rsidP="007778ED">
    <w:pPr>
      <w:pStyle w:val="aff5"/>
      <w:jc w:val="center"/>
    </w:pPr>
    <w:r>
      <w:t xml:space="preserve">Confidential manuscript submitted to </w:t>
    </w:r>
    <w:r>
      <w:rPr>
        <w:i/>
      </w:rPr>
      <w:t>Water Resources Research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608B1" w14:textId="77777777" w:rsidR="00DD25D3" w:rsidRDefault="00DD25D3" w:rsidP="00E31404">
    <w:pPr>
      <w:pStyle w:val="aff5"/>
      <w:jc w:val="center"/>
    </w:pPr>
    <w:r>
      <w:t xml:space="preserve">Confidential manuscript submitted to </w:t>
    </w:r>
    <w:r>
      <w:rPr>
        <w:i/>
      </w:rPr>
      <w:t xml:space="preserve">replace this text with name of </w:t>
    </w:r>
    <w:r w:rsidRPr="007778ED">
      <w:rPr>
        <w:i/>
      </w:rPr>
      <w:t>AGU journal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771"/>
    <w:rsid w:val="000D68BD"/>
    <w:rsid w:val="000E4C00"/>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86C0A"/>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80691"/>
    <w:rsid w:val="002B35D4"/>
    <w:rsid w:val="002C030F"/>
    <w:rsid w:val="002C7B27"/>
    <w:rsid w:val="002F3966"/>
    <w:rsid w:val="00320E2C"/>
    <w:rsid w:val="00331D75"/>
    <w:rsid w:val="00355362"/>
    <w:rsid w:val="00363E44"/>
    <w:rsid w:val="00395E86"/>
    <w:rsid w:val="003A2FD8"/>
    <w:rsid w:val="003B40E6"/>
    <w:rsid w:val="003C007A"/>
    <w:rsid w:val="003E1980"/>
    <w:rsid w:val="003F6E14"/>
    <w:rsid w:val="00405336"/>
    <w:rsid w:val="004103FD"/>
    <w:rsid w:val="004568BC"/>
    <w:rsid w:val="004571D5"/>
    <w:rsid w:val="00462F1B"/>
    <w:rsid w:val="0046356B"/>
    <w:rsid w:val="00476ED4"/>
    <w:rsid w:val="00477182"/>
    <w:rsid w:val="004779CB"/>
    <w:rsid w:val="00481118"/>
    <w:rsid w:val="004A1367"/>
    <w:rsid w:val="004A635C"/>
    <w:rsid w:val="004B2481"/>
    <w:rsid w:val="004D2A8C"/>
    <w:rsid w:val="004E42D8"/>
    <w:rsid w:val="004E7BA2"/>
    <w:rsid w:val="004F16C1"/>
    <w:rsid w:val="004F7EDF"/>
    <w:rsid w:val="005001AC"/>
    <w:rsid w:val="00504ABA"/>
    <w:rsid w:val="00517016"/>
    <w:rsid w:val="00527D71"/>
    <w:rsid w:val="00527D84"/>
    <w:rsid w:val="005314B5"/>
    <w:rsid w:val="00541B93"/>
    <w:rsid w:val="0054432F"/>
    <w:rsid w:val="00552C23"/>
    <w:rsid w:val="005607DD"/>
    <w:rsid w:val="00572DFF"/>
    <w:rsid w:val="005A558C"/>
    <w:rsid w:val="005B186E"/>
    <w:rsid w:val="005C6651"/>
    <w:rsid w:val="005D6D71"/>
    <w:rsid w:val="005E28F8"/>
    <w:rsid w:val="005E5A95"/>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C25EE"/>
    <w:rsid w:val="00807D35"/>
    <w:rsid w:val="008115D9"/>
    <w:rsid w:val="0081569C"/>
    <w:rsid w:val="0082399E"/>
    <w:rsid w:val="00825950"/>
    <w:rsid w:val="00885C9B"/>
    <w:rsid w:val="0089082D"/>
    <w:rsid w:val="008927D0"/>
    <w:rsid w:val="00893072"/>
    <w:rsid w:val="008B4E84"/>
    <w:rsid w:val="008D5D2A"/>
    <w:rsid w:val="008E2CF1"/>
    <w:rsid w:val="008F08DC"/>
    <w:rsid w:val="008F5A8A"/>
    <w:rsid w:val="009055D1"/>
    <w:rsid w:val="0090795D"/>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92AD2"/>
    <w:rsid w:val="00AA76F3"/>
    <w:rsid w:val="00AC7DA6"/>
    <w:rsid w:val="00AD08D6"/>
    <w:rsid w:val="00AD499C"/>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C7537"/>
    <w:rsid w:val="00BD58CF"/>
    <w:rsid w:val="00BF1226"/>
    <w:rsid w:val="00BF1BEB"/>
    <w:rsid w:val="00BF1BF9"/>
    <w:rsid w:val="00C04CC1"/>
    <w:rsid w:val="00C071FC"/>
    <w:rsid w:val="00C22C02"/>
    <w:rsid w:val="00C27F6F"/>
    <w:rsid w:val="00C30E83"/>
    <w:rsid w:val="00C50C6D"/>
    <w:rsid w:val="00C600D9"/>
    <w:rsid w:val="00C634D7"/>
    <w:rsid w:val="00C73E09"/>
    <w:rsid w:val="00CB6233"/>
    <w:rsid w:val="00CC1384"/>
    <w:rsid w:val="00CC1D14"/>
    <w:rsid w:val="00CD3720"/>
    <w:rsid w:val="00CE6EAA"/>
    <w:rsid w:val="00CF1848"/>
    <w:rsid w:val="00CF5C2F"/>
    <w:rsid w:val="00D04BCF"/>
    <w:rsid w:val="00D10134"/>
    <w:rsid w:val="00D143D9"/>
    <w:rsid w:val="00D4372A"/>
    <w:rsid w:val="00D60BB0"/>
    <w:rsid w:val="00D65708"/>
    <w:rsid w:val="00D7196F"/>
    <w:rsid w:val="00D8159F"/>
    <w:rsid w:val="00DB1B6E"/>
    <w:rsid w:val="00DB7A31"/>
    <w:rsid w:val="00DD1D04"/>
    <w:rsid w:val="00DD25D3"/>
    <w:rsid w:val="00DD79D7"/>
    <w:rsid w:val="00E20431"/>
    <w:rsid w:val="00E257C8"/>
    <w:rsid w:val="00E40896"/>
    <w:rsid w:val="00E43D2D"/>
    <w:rsid w:val="00E449CB"/>
    <w:rsid w:val="00E53F61"/>
    <w:rsid w:val="00E63760"/>
    <w:rsid w:val="00E64049"/>
    <w:rsid w:val="00E9773B"/>
    <w:rsid w:val="00EC13A3"/>
    <w:rsid w:val="00EC7C85"/>
    <w:rsid w:val="00ED69CA"/>
    <w:rsid w:val="00EE35AB"/>
    <w:rsid w:val="00EF25A3"/>
    <w:rsid w:val="00F06975"/>
    <w:rsid w:val="00F125EE"/>
    <w:rsid w:val="00F12E98"/>
    <w:rsid w:val="00F22029"/>
    <w:rsid w:val="00F23E46"/>
    <w:rsid w:val="00F3515C"/>
    <w:rsid w:val="00F4196E"/>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unhideWhenUsed="1"/>
    <w:lsdException w:name="HTML Variable" w:semiHidden="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uiPriority w:val="99"/>
    <w:rsid w:val="00405336"/>
    <w:pPr>
      <w:tabs>
        <w:tab w:val="center" w:pos="4680"/>
        <w:tab w:val="right" w:pos="9360"/>
      </w:tabs>
    </w:pPr>
  </w:style>
  <w:style w:type="character" w:customStyle="1" w:styleId="aff2">
    <w:name w:val="页脚 字符"/>
    <w:link w:val="aff1"/>
    <w:uiPriority w:val="99"/>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uiPriority w:val="99"/>
    <w:rsid w:val="00405336"/>
    <w:pPr>
      <w:tabs>
        <w:tab w:val="center" w:pos="4680"/>
        <w:tab w:val="right" w:pos="9360"/>
      </w:tabs>
    </w:pPr>
  </w:style>
  <w:style w:type="character" w:customStyle="1" w:styleId="aff6">
    <w:name w:val="页眉 字符"/>
    <w:link w:val="aff5"/>
    <w:uiPriority w:val="99"/>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paragraph" w:customStyle="1" w:styleId="body-copy-normal">
    <w:name w:val="body-copy-normal"/>
    <w:basedOn w:val="a1"/>
    <w:rsid w:val="00FF3503"/>
    <w:pPr>
      <w:spacing w:before="100" w:beforeAutospacing="1" w:after="100" w:afterAutospacing="1"/>
    </w:pPr>
    <w:rPr>
      <w:szCs w:val="24"/>
    </w:rPr>
  </w:style>
  <w:style w:type="paragraph" w:customStyle="1" w:styleId="body-copy-ndent">
    <w:name w:val="body-copy-ndent"/>
    <w:basedOn w:val="a1"/>
    <w:rsid w:val="00FF3503"/>
    <w:pPr>
      <w:spacing w:before="100" w:beforeAutospacing="1" w:after="100" w:afterAutospacing="1"/>
    </w:pPr>
    <w:rPr>
      <w:szCs w:val="24"/>
    </w:rPr>
  </w:style>
  <w:style w:type="character" w:styleId="affff6">
    <w:name w:val="Strong"/>
    <w:uiPriority w:val="22"/>
    <w:qFormat/>
    <w:rsid w:val="00FF3503"/>
    <w:rPr>
      <w:b/>
      <w:bCs/>
    </w:rPr>
  </w:style>
  <w:style w:type="character" w:styleId="affff7">
    <w:name w:val="annotation reference"/>
    <w:semiHidden/>
    <w:rsid w:val="002800B6"/>
    <w:rPr>
      <w:sz w:val="16"/>
      <w:szCs w:val="16"/>
    </w:rPr>
  </w:style>
  <w:style w:type="character" w:styleId="affff8">
    <w:name w:val="Unresolved Mention"/>
    <w:basedOn w:val="a2"/>
    <w:rsid w:val="00E53F61"/>
    <w:rPr>
      <w:color w:val="605E5C"/>
      <w:shd w:val="clear" w:color="auto" w:fill="E1DFDD"/>
    </w:rPr>
  </w:style>
  <w:style w:type="paragraph" w:customStyle="1" w:styleId="Text">
    <w:name w:val="Text"/>
    <w:basedOn w:val="a1"/>
    <w:rsid w:val="00CB6233"/>
    <w:pPr>
      <w:spacing w:before="120"/>
      <w:ind w:firstLine="720"/>
    </w:pPr>
    <w:rPr>
      <w:rFonts w:eastAsia="Times New Roman"/>
      <w:szCs w:val="24"/>
    </w:rPr>
  </w:style>
  <w:style w:type="paragraph" w:customStyle="1" w:styleId="Heading-Secondary">
    <w:name w:val="Heading-Secondary"/>
    <w:basedOn w:val="a1"/>
    <w:qFormat/>
    <w:rsid w:val="004A635C"/>
    <w:pPr>
      <w:keepNext/>
      <w:spacing w:before="240" w:after="120"/>
      <w:ind w:left="720"/>
      <w:outlineLvl w:val="0"/>
    </w:pPr>
    <w:rPr>
      <w:rFonts w:eastAsia="Times New Roman"/>
      <w:bCs/>
      <w:kern w:val="28"/>
      <w:szCs w:val="24"/>
    </w:rPr>
  </w:style>
  <w:style w:type="character" w:styleId="affff9">
    <w:name w:val="line number"/>
    <w:basedOn w:val="a2"/>
    <w:semiHidden/>
    <w:rsid w:val="008B4E84"/>
  </w:style>
  <w:style w:type="paragraph" w:customStyle="1" w:styleId="FigureorTableCaption">
    <w:name w:val="Figure or Table Caption"/>
    <w:basedOn w:val="a1"/>
    <w:rsid w:val="00DD25D3"/>
    <w:pPr>
      <w:keepNext/>
      <w:spacing w:before="240"/>
      <w:outlineLvl w:val="0"/>
    </w:pPr>
    <w:rPr>
      <w:rFonts w:eastAsia="Times New Roman"/>
      <w:kern w:val="28"/>
      <w:szCs w:val="24"/>
    </w:rPr>
  </w:style>
  <w:style w:type="table" w:customStyle="1" w:styleId="12">
    <w:name w:val="网格型1"/>
    <w:basedOn w:val="a3"/>
    <w:next w:val="affffa"/>
    <w:rsid w:val="00DD25D3"/>
    <w:rPr>
      <w:rFonts w:asciiTheme="minorHAnsi" w:eastAsiaTheme="minorEastAsia"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a">
    <w:name w:val="Table Grid"/>
    <w:basedOn w:val="a3"/>
    <w:rsid w:val="00DD2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585F2-1A07-4E63-8150-496E78215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6643</Words>
  <Characters>37869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Meng Ying</cp:lastModifiedBy>
  <cp:revision>5</cp:revision>
  <cp:lastPrinted>2014-09-30T16:49:00Z</cp:lastPrinted>
  <dcterms:created xsi:type="dcterms:W3CDTF">2020-01-14T07:42:00Z</dcterms:created>
  <dcterms:modified xsi:type="dcterms:W3CDTF">2020-01-15T06:46:00Z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8bcb6c0e-d559-3832-868c-8034105eec62</vt:lpwstr>
  </property>
  <property fmtid="{D5CDD505-2E9C-101B-9397-08002B2CF9AE}" pid="4" name="Mendeley Citation Style_1">
    <vt:lpwstr>http://www.zotero.org/styles/water-resources-research</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http://www.zotero.org/styles/water-resources-research</vt:lpwstr>
  </property>
  <property fmtid="{D5CDD505-2E9C-101B-9397-08002B2CF9AE}" pid="24" name="Mendeley Recent Style Name 9_1">
    <vt:lpwstr>Water Resources Research</vt:lpwstr>
  </property>
</Properties>
</file>